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2C3" w:rsidRDefault="00B122C3" w:rsidP="00B122C3">
      <w:pPr>
        <w:spacing w:line="480" w:lineRule="auto"/>
        <w:jc w:val="center"/>
        <w:rPr>
          <w:rFonts w:ascii="Times New Roman" w:hAnsi="Times New Roman" w:cs="Times New Roman"/>
          <w:sz w:val="24"/>
          <w:szCs w:val="24"/>
        </w:rPr>
      </w:pPr>
    </w:p>
    <w:p w:rsidR="00B122C3" w:rsidRDefault="00B122C3" w:rsidP="00B122C3">
      <w:pPr>
        <w:spacing w:line="480" w:lineRule="auto"/>
        <w:jc w:val="center"/>
        <w:rPr>
          <w:rFonts w:ascii="Times New Roman" w:hAnsi="Times New Roman" w:cs="Times New Roman"/>
          <w:sz w:val="24"/>
          <w:szCs w:val="24"/>
        </w:rPr>
      </w:pPr>
    </w:p>
    <w:p w:rsidR="00B122C3" w:rsidRDefault="00B122C3" w:rsidP="00B122C3">
      <w:pPr>
        <w:spacing w:line="480" w:lineRule="auto"/>
        <w:jc w:val="center"/>
        <w:rPr>
          <w:rFonts w:ascii="Times New Roman" w:hAnsi="Times New Roman" w:cs="Times New Roman"/>
          <w:sz w:val="24"/>
          <w:szCs w:val="24"/>
        </w:rPr>
      </w:pPr>
    </w:p>
    <w:p w:rsidR="00B122C3" w:rsidRDefault="00B122C3" w:rsidP="00B122C3">
      <w:pPr>
        <w:spacing w:line="480" w:lineRule="auto"/>
        <w:jc w:val="center"/>
        <w:rPr>
          <w:rFonts w:ascii="Times New Roman" w:hAnsi="Times New Roman" w:cs="Times New Roman"/>
          <w:sz w:val="24"/>
          <w:szCs w:val="24"/>
        </w:rPr>
      </w:pPr>
    </w:p>
    <w:p w:rsidR="00B122C3" w:rsidRDefault="00B122C3" w:rsidP="00B122C3">
      <w:pPr>
        <w:spacing w:line="480" w:lineRule="auto"/>
        <w:jc w:val="center"/>
        <w:rPr>
          <w:rFonts w:ascii="Times New Roman" w:hAnsi="Times New Roman" w:cs="Times New Roman"/>
          <w:sz w:val="24"/>
          <w:szCs w:val="24"/>
        </w:rPr>
      </w:pPr>
    </w:p>
    <w:p w:rsidR="00B122C3" w:rsidRDefault="00B122C3" w:rsidP="00B122C3">
      <w:pPr>
        <w:spacing w:line="480" w:lineRule="auto"/>
        <w:jc w:val="center"/>
        <w:rPr>
          <w:rFonts w:ascii="Times New Roman" w:hAnsi="Times New Roman" w:cs="Times New Roman"/>
          <w:sz w:val="24"/>
          <w:szCs w:val="24"/>
        </w:rPr>
      </w:pPr>
    </w:p>
    <w:p w:rsidR="00B122C3" w:rsidRDefault="00B122C3" w:rsidP="00B122C3">
      <w:pPr>
        <w:spacing w:line="480" w:lineRule="auto"/>
        <w:jc w:val="center"/>
        <w:rPr>
          <w:rFonts w:ascii="Times New Roman" w:hAnsi="Times New Roman" w:cs="Times New Roman"/>
          <w:sz w:val="24"/>
          <w:szCs w:val="24"/>
        </w:rPr>
      </w:pPr>
    </w:p>
    <w:p w:rsidR="00170523" w:rsidRDefault="0038743F" w:rsidP="00B122C3">
      <w:pPr>
        <w:spacing w:line="480" w:lineRule="auto"/>
        <w:jc w:val="center"/>
        <w:rPr>
          <w:rFonts w:ascii="Times New Roman" w:hAnsi="Times New Roman" w:cs="Times New Roman"/>
          <w:sz w:val="24"/>
          <w:szCs w:val="24"/>
        </w:rPr>
      </w:pPr>
      <w:r>
        <w:rPr>
          <w:rFonts w:ascii="Times New Roman" w:hAnsi="Times New Roman" w:cs="Times New Roman"/>
          <w:sz w:val="24"/>
          <w:szCs w:val="24"/>
        </w:rPr>
        <w:t>Vinueza versus Scotto Case Review</w:t>
      </w:r>
    </w:p>
    <w:p w:rsidR="00170523" w:rsidRDefault="0038743F" w:rsidP="00B122C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70523" w:rsidRDefault="0038743F" w:rsidP="00B122C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170523" w:rsidRDefault="0038743F" w:rsidP="00B122C3">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B122C3" w:rsidRDefault="00B122C3" w:rsidP="00170523">
      <w:pPr>
        <w:spacing w:line="480" w:lineRule="auto"/>
        <w:rPr>
          <w:rFonts w:ascii="Times New Roman" w:hAnsi="Times New Roman" w:cs="Times New Roman"/>
          <w:sz w:val="24"/>
          <w:szCs w:val="24"/>
        </w:rPr>
      </w:pPr>
    </w:p>
    <w:p w:rsidR="00B122C3" w:rsidRDefault="00B122C3" w:rsidP="00170523">
      <w:pPr>
        <w:spacing w:line="480" w:lineRule="auto"/>
        <w:rPr>
          <w:rFonts w:ascii="Times New Roman" w:hAnsi="Times New Roman" w:cs="Times New Roman"/>
          <w:sz w:val="24"/>
          <w:szCs w:val="24"/>
        </w:rPr>
      </w:pPr>
    </w:p>
    <w:p w:rsidR="00B122C3" w:rsidRDefault="00B122C3" w:rsidP="00170523">
      <w:pPr>
        <w:spacing w:line="480" w:lineRule="auto"/>
        <w:rPr>
          <w:rFonts w:ascii="Times New Roman" w:hAnsi="Times New Roman" w:cs="Times New Roman"/>
          <w:sz w:val="24"/>
          <w:szCs w:val="24"/>
        </w:rPr>
      </w:pPr>
    </w:p>
    <w:p w:rsidR="00B122C3" w:rsidRDefault="00B122C3" w:rsidP="00170523">
      <w:pPr>
        <w:spacing w:line="480" w:lineRule="auto"/>
        <w:rPr>
          <w:rFonts w:ascii="Times New Roman" w:hAnsi="Times New Roman" w:cs="Times New Roman"/>
          <w:sz w:val="24"/>
          <w:szCs w:val="24"/>
        </w:rPr>
      </w:pPr>
    </w:p>
    <w:p w:rsidR="00B122C3" w:rsidRDefault="00B122C3" w:rsidP="00170523">
      <w:pPr>
        <w:spacing w:line="480" w:lineRule="auto"/>
        <w:rPr>
          <w:rFonts w:ascii="Times New Roman" w:hAnsi="Times New Roman" w:cs="Times New Roman"/>
          <w:sz w:val="24"/>
          <w:szCs w:val="24"/>
        </w:rPr>
      </w:pPr>
    </w:p>
    <w:p w:rsidR="00B122C3" w:rsidRDefault="00B122C3" w:rsidP="00170523">
      <w:pPr>
        <w:spacing w:line="480" w:lineRule="auto"/>
        <w:rPr>
          <w:rFonts w:ascii="Times New Roman" w:hAnsi="Times New Roman" w:cs="Times New Roman"/>
          <w:sz w:val="24"/>
          <w:szCs w:val="24"/>
        </w:rPr>
      </w:pPr>
    </w:p>
    <w:p w:rsidR="00B122C3" w:rsidRDefault="00B122C3" w:rsidP="00170523">
      <w:pPr>
        <w:spacing w:line="480" w:lineRule="auto"/>
        <w:rPr>
          <w:rFonts w:ascii="Times New Roman" w:hAnsi="Times New Roman" w:cs="Times New Roman"/>
          <w:sz w:val="24"/>
          <w:szCs w:val="24"/>
        </w:rPr>
      </w:pPr>
    </w:p>
    <w:p w:rsidR="00B122C3" w:rsidRPr="00B122C3" w:rsidRDefault="0038743F" w:rsidP="00B122C3">
      <w:pPr>
        <w:spacing w:line="480" w:lineRule="auto"/>
        <w:jc w:val="center"/>
        <w:rPr>
          <w:rFonts w:ascii="Times New Roman" w:hAnsi="Times New Roman" w:cs="Times New Roman"/>
          <w:sz w:val="24"/>
          <w:szCs w:val="24"/>
        </w:rPr>
      </w:pPr>
      <w:r w:rsidRPr="00B122C3">
        <w:rPr>
          <w:rFonts w:ascii="Times New Roman" w:hAnsi="Times New Roman" w:cs="Times New Roman"/>
          <w:sz w:val="24"/>
          <w:szCs w:val="24"/>
        </w:rPr>
        <w:lastRenderedPageBreak/>
        <w:t>Vinueza versus Scotto Case Review</w:t>
      </w:r>
    </w:p>
    <w:p w:rsidR="00B122C3" w:rsidRPr="00B122C3" w:rsidRDefault="0038743F" w:rsidP="00B122C3">
      <w:pPr>
        <w:spacing w:line="480" w:lineRule="auto"/>
        <w:jc w:val="center"/>
        <w:rPr>
          <w:rFonts w:ascii="Times New Roman" w:hAnsi="Times New Roman" w:cs="Times New Roman"/>
          <w:b/>
          <w:sz w:val="24"/>
          <w:szCs w:val="24"/>
        </w:rPr>
      </w:pPr>
      <w:r w:rsidRPr="00B122C3">
        <w:rPr>
          <w:rFonts w:ascii="Times New Roman" w:hAnsi="Times New Roman" w:cs="Times New Roman"/>
          <w:b/>
          <w:sz w:val="24"/>
          <w:szCs w:val="24"/>
        </w:rPr>
        <w:t>Introduction</w:t>
      </w:r>
    </w:p>
    <w:p w:rsidR="00B122C3" w:rsidRDefault="0038743F" w:rsidP="00B122C3">
      <w:pPr>
        <w:spacing w:line="480" w:lineRule="auto"/>
        <w:ind w:firstLine="720"/>
        <w:rPr>
          <w:rFonts w:ascii="Times New Roman" w:hAnsi="Times New Roman" w:cs="Times New Roman"/>
          <w:sz w:val="24"/>
          <w:szCs w:val="24"/>
        </w:rPr>
      </w:pPr>
      <w:r w:rsidRPr="003E2093">
        <w:rPr>
          <w:rFonts w:ascii="Times New Roman" w:hAnsi="Times New Roman" w:cs="Times New Roman"/>
          <w:sz w:val="24"/>
          <w:szCs w:val="24"/>
        </w:rPr>
        <w:t xml:space="preserve">This is a case that was done in the small claims court. </w:t>
      </w:r>
      <w:r w:rsidR="00562B44" w:rsidRPr="003E2093">
        <w:rPr>
          <w:rFonts w:ascii="Times New Roman" w:hAnsi="Times New Roman" w:cs="Times New Roman"/>
          <w:sz w:val="24"/>
          <w:szCs w:val="24"/>
        </w:rPr>
        <w:t xml:space="preserve">The small claims court deals with resolving disputes about </w:t>
      </w:r>
      <w:r w:rsidR="009643DA" w:rsidRPr="003E2093">
        <w:rPr>
          <w:rFonts w:ascii="Times New Roman" w:hAnsi="Times New Roman" w:cs="Times New Roman"/>
          <w:sz w:val="24"/>
          <w:szCs w:val="24"/>
        </w:rPr>
        <w:t>little disputes involving amounts of relatively small quantities and is done expeditiously.</w:t>
      </w:r>
      <w:r w:rsidR="00D070C4" w:rsidRPr="003E2093">
        <w:rPr>
          <w:rFonts w:ascii="Times New Roman" w:hAnsi="Times New Roman" w:cs="Times New Roman"/>
          <w:sz w:val="24"/>
          <w:szCs w:val="24"/>
        </w:rPr>
        <w:t xml:space="preserve"> In this particular case, the accuser, identified as </w:t>
      </w:r>
      <w:r w:rsidR="00D070C4" w:rsidRPr="003E2093">
        <w:rPr>
          <w:rFonts w:ascii="Times New Roman" w:hAnsi="Times New Roman" w:cs="Times New Roman"/>
          <w:color w:val="212529"/>
          <w:sz w:val="24"/>
          <w:szCs w:val="24"/>
          <w:shd w:val="clear" w:color="auto" w:fill="FAFAFA"/>
        </w:rPr>
        <w:t>Cincy Vinueza</w:t>
      </w:r>
      <w:r w:rsidR="004A4A4F" w:rsidRPr="003E2093">
        <w:rPr>
          <w:rFonts w:ascii="Times New Roman" w:hAnsi="Times New Roman" w:cs="Times New Roman"/>
          <w:color w:val="212529"/>
          <w:sz w:val="24"/>
          <w:szCs w:val="24"/>
          <w:shd w:val="clear" w:color="auto" w:fill="FAFAFA"/>
        </w:rPr>
        <w:t>, contends that she is owed by Michael Scotto, who is now the defendant.</w:t>
      </w:r>
      <w:r w:rsidR="00D75216" w:rsidRPr="003E2093">
        <w:rPr>
          <w:rFonts w:ascii="Times New Roman" w:hAnsi="Times New Roman" w:cs="Times New Roman"/>
          <w:color w:val="212529"/>
          <w:sz w:val="24"/>
          <w:szCs w:val="24"/>
          <w:shd w:val="clear" w:color="auto" w:fill="FAFAFA"/>
        </w:rPr>
        <w:t xml:space="preserve"> As a result of this, the point is a small claim action to recover a sum of three thousand six hundred dollars</w:t>
      </w:r>
      <w:r w:rsidR="001E15FD" w:rsidRPr="001E15FD">
        <w:rPr>
          <w:rFonts w:ascii="Times New Roman" w:hAnsi="Times New Roman" w:cs="Times New Roman"/>
          <w:sz w:val="24"/>
          <w:szCs w:val="24"/>
          <w:shd w:val="clear" w:color="auto" w:fill="FFFFFF"/>
        </w:rPr>
        <w:t xml:space="preserve"> </w:t>
      </w:r>
      <w:r w:rsidR="001E15FD">
        <w:rPr>
          <w:rFonts w:ascii="Times New Roman" w:hAnsi="Times New Roman" w:cs="Times New Roman"/>
          <w:sz w:val="24"/>
          <w:szCs w:val="24"/>
          <w:shd w:val="clear" w:color="auto" w:fill="FFFFFF"/>
        </w:rPr>
        <w:t>(</w:t>
      </w:r>
      <w:r w:rsidR="001E15FD" w:rsidRPr="001E15FD">
        <w:rPr>
          <w:rFonts w:ascii="Times New Roman" w:hAnsi="Times New Roman" w:cs="Times New Roman"/>
          <w:color w:val="212529"/>
          <w:sz w:val="24"/>
          <w:szCs w:val="24"/>
          <w:shd w:val="clear" w:color="auto" w:fill="FAFAFA"/>
        </w:rPr>
        <w:t>Lemaire-Mayo</w:t>
      </w:r>
      <w:r w:rsidR="001E15FD">
        <w:rPr>
          <w:rFonts w:ascii="Times New Roman" w:hAnsi="Times New Roman" w:cs="Times New Roman"/>
          <w:color w:val="212529"/>
          <w:sz w:val="24"/>
          <w:szCs w:val="24"/>
          <w:shd w:val="clear" w:color="auto" w:fill="FAFAFA"/>
        </w:rPr>
        <w:t>, et., 2020)</w:t>
      </w:r>
      <w:r w:rsidR="00D75216" w:rsidRPr="003E2093">
        <w:rPr>
          <w:rFonts w:ascii="Times New Roman" w:hAnsi="Times New Roman" w:cs="Times New Roman"/>
          <w:color w:val="212529"/>
          <w:sz w:val="24"/>
          <w:szCs w:val="24"/>
          <w:shd w:val="clear" w:color="auto" w:fill="FAFAFA"/>
        </w:rPr>
        <w:t>.</w:t>
      </w:r>
      <w:r w:rsidR="007F152A" w:rsidRPr="003E2093">
        <w:rPr>
          <w:rFonts w:ascii="Times New Roman" w:hAnsi="Times New Roman" w:cs="Times New Roman"/>
          <w:color w:val="212529"/>
          <w:sz w:val="24"/>
          <w:szCs w:val="24"/>
          <w:shd w:val="clear" w:color="auto" w:fill="FAFAFA"/>
        </w:rPr>
        <w:t xml:space="preserve"> </w:t>
      </w:r>
      <w:r w:rsidR="007947DA" w:rsidRPr="003E2093">
        <w:rPr>
          <w:rFonts w:ascii="Times New Roman" w:hAnsi="Times New Roman" w:cs="Times New Roman"/>
          <w:color w:val="212529"/>
          <w:sz w:val="24"/>
          <w:szCs w:val="24"/>
          <w:shd w:val="clear" w:color="auto" w:fill="FAFAFA"/>
        </w:rPr>
        <w:t>T</w:t>
      </w:r>
      <w:r w:rsidR="001E15FD" w:rsidRPr="003E2093">
        <w:rPr>
          <w:rFonts w:ascii="Times New Roman" w:hAnsi="Times New Roman" w:cs="Times New Roman"/>
          <w:color w:val="212529"/>
          <w:sz w:val="24"/>
          <w:szCs w:val="24"/>
          <w:shd w:val="clear" w:color="auto" w:fill="FAFAFA"/>
        </w:rPr>
        <w:t>hese reviews</w:t>
      </w:r>
      <w:r w:rsidR="007947DA" w:rsidRPr="003E2093">
        <w:rPr>
          <w:rFonts w:ascii="Times New Roman" w:hAnsi="Times New Roman" w:cs="Times New Roman"/>
          <w:color w:val="212529"/>
          <w:sz w:val="24"/>
          <w:szCs w:val="24"/>
          <w:shd w:val="clear" w:color="auto" w:fill="FAFAFA"/>
        </w:rPr>
        <w:t xml:space="preserve"> aim to</w:t>
      </w:r>
      <w:r w:rsidR="007F152A" w:rsidRPr="003E2093">
        <w:rPr>
          <w:rFonts w:ascii="Times New Roman" w:hAnsi="Times New Roman" w:cs="Times New Roman"/>
          <w:color w:val="212529"/>
          <w:sz w:val="24"/>
          <w:szCs w:val="24"/>
          <w:shd w:val="clear" w:color="auto" w:fill="FAFAFA"/>
        </w:rPr>
        <w:t xml:space="preserve"> find out if justice prevailed in the order of the court</w:t>
      </w:r>
      <w:r w:rsidR="007947DA" w:rsidRPr="003E2093">
        <w:rPr>
          <w:rFonts w:ascii="Times New Roman" w:hAnsi="Times New Roman" w:cs="Times New Roman"/>
          <w:color w:val="212529"/>
          <w:sz w:val="24"/>
          <w:szCs w:val="24"/>
          <w:shd w:val="clear" w:color="auto" w:fill="FAFAFA"/>
        </w:rPr>
        <w:t xml:space="preserve"> regarding this case</w:t>
      </w:r>
      <w:r w:rsidR="00E92336" w:rsidRPr="003E2093">
        <w:rPr>
          <w:rFonts w:ascii="Times New Roman" w:hAnsi="Times New Roman" w:cs="Times New Roman"/>
          <w:color w:val="212529"/>
          <w:sz w:val="24"/>
          <w:szCs w:val="24"/>
          <w:shd w:val="clear" w:color="auto" w:fill="FAFAFA"/>
        </w:rPr>
        <w:t>.</w:t>
      </w:r>
    </w:p>
    <w:p w:rsidR="00B122C3" w:rsidRDefault="0038743F" w:rsidP="00B122C3">
      <w:pPr>
        <w:spacing w:line="480" w:lineRule="auto"/>
        <w:ind w:firstLine="720"/>
        <w:rPr>
          <w:rFonts w:ascii="Times New Roman" w:hAnsi="Times New Roman" w:cs="Times New Roman"/>
          <w:sz w:val="24"/>
          <w:szCs w:val="24"/>
        </w:rPr>
      </w:pPr>
      <w:r w:rsidRPr="003E2093">
        <w:rPr>
          <w:rFonts w:ascii="Times New Roman" w:hAnsi="Times New Roman" w:cs="Times New Roman"/>
          <w:color w:val="212529"/>
          <w:sz w:val="24"/>
          <w:szCs w:val="24"/>
          <w:shd w:val="clear" w:color="auto" w:fill="FAFAFA"/>
        </w:rPr>
        <w:t>The plaintiff (Vinueza</w:t>
      </w:r>
      <w:r w:rsidR="00FE4E0A" w:rsidRPr="003E2093">
        <w:rPr>
          <w:rFonts w:ascii="Times New Roman" w:hAnsi="Times New Roman" w:cs="Times New Roman"/>
          <w:color w:val="212529"/>
          <w:sz w:val="24"/>
          <w:szCs w:val="24"/>
          <w:shd w:val="clear" w:color="auto" w:fill="FAFAFA"/>
        </w:rPr>
        <w:t>) contends</w:t>
      </w:r>
      <w:r w:rsidRPr="003E2093">
        <w:rPr>
          <w:rFonts w:ascii="Times New Roman" w:hAnsi="Times New Roman" w:cs="Times New Roman"/>
          <w:color w:val="212529"/>
          <w:sz w:val="24"/>
          <w:szCs w:val="24"/>
          <w:shd w:val="clear" w:color="auto" w:fill="FAFAFA"/>
        </w:rPr>
        <w:t xml:space="preserve"> that </w:t>
      </w:r>
      <w:r w:rsidR="00FE4E0A" w:rsidRPr="003E2093">
        <w:rPr>
          <w:rFonts w:ascii="Times New Roman" w:hAnsi="Times New Roman" w:cs="Times New Roman"/>
          <w:color w:val="212529"/>
          <w:sz w:val="24"/>
          <w:szCs w:val="24"/>
          <w:shd w:val="clear" w:color="auto" w:fill="FAFAFA"/>
        </w:rPr>
        <w:t>Michael</w:t>
      </w:r>
      <w:r w:rsidRPr="003E2093">
        <w:rPr>
          <w:rFonts w:ascii="Times New Roman" w:hAnsi="Times New Roman" w:cs="Times New Roman"/>
          <w:color w:val="212529"/>
          <w:sz w:val="24"/>
          <w:szCs w:val="24"/>
          <w:shd w:val="clear" w:color="auto" w:fill="FAFAFA"/>
        </w:rPr>
        <w:t xml:space="preserve"> </w:t>
      </w:r>
      <w:r w:rsidR="00FE4E0A" w:rsidRPr="003E2093">
        <w:rPr>
          <w:rFonts w:ascii="Times New Roman" w:hAnsi="Times New Roman" w:cs="Times New Roman"/>
          <w:color w:val="212529"/>
          <w:sz w:val="24"/>
          <w:szCs w:val="24"/>
          <w:shd w:val="clear" w:color="auto" w:fill="FAFAFA"/>
        </w:rPr>
        <w:t>Scotto</w:t>
      </w:r>
      <w:r w:rsidRPr="003E2093">
        <w:rPr>
          <w:rFonts w:ascii="Times New Roman" w:hAnsi="Times New Roman" w:cs="Times New Roman"/>
          <w:color w:val="212529"/>
          <w:sz w:val="24"/>
          <w:szCs w:val="24"/>
          <w:shd w:val="clear" w:color="auto" w:fill="FAFAFA"/>
        </w:rPr>
        <w:t xml:space="preserve"> owes her the above amount of money based on a </w:t>
      </w:r>
      <w:r w:rsidR="00FE4E0A" w:rsidRPr="003E2093">
        <w:rPr>
          <w:rFonts w:ascii="Times New Roman" w:hAnsi="Times New Roman" w:cs="Times New Roman"/>
          <w:color w:val="212529"/>
          <w:sz w:val="24"/>
          <w:szCs w:val="24"/>
          <w:shd w:val="clear" w:color="auto" w:fill="FAFAFA"/>
        </w:rPr>
        <w:t>promissory</w:t>
      </w:r>
      <w:r w:rsidRPr="003E2093">
        <w:rPr>
          <w:rFonts w:ascii="Times New Roman" w:hAnsi="Times New Roman" w:cs="Times New Roman"/>
          <w:color w:val="212529"/>
          <w:sz w:val="24"/>
          <w:szCs w:val="24"/>
          <w:shd w:val="clear" w:color="auto" w:fill="FAFAFA"/>
        </w:rPr>
        <w:t xml:space="preserve"> note.</w:t>
      </w:r>
      <w:r w:rsidR="000C4B7B" w:rsidRPr="003E2093">
        <w:rPr>
          <w:rFonts w:ascii="Times New Roman" w:hAnsi="Times New Roman" w:cs="Times New Roman"/>
          <w:color w:val="212529"/>
          <w:sz w:val="24"/>
          <w:szCs w:val="24"/>
          <w:shd w:val="clear" w:color="auto" w:fill="FAFAFA"/>
        </w:rPr>
        <w:t xml:space="preserve"> A </w:t>
      </w:r>
      <w:r w:rsidR="00FE4E0A" w:rsidRPr="003E2093">
        <w:rPr>
          <w:rFonts w:ascii="Times New Roman" w:hAnsi="Times New Roman" w:cs="Times New Roman"/>
          <w:color w:val="212529"/>
          <w:sz w:val="24"/>
          <w:szCs w:val="24"/>
          <w:shd w:val="clear" w:color="auto" w:fill="FAFAFA"/>
        </w:rPr>
        <w:t>promissory</w:t>
      </w:r>
      <w:r w:rsidR="000C4B7B" w:rsidRPr="003E2093">
        <w:rPr>
          <w:rFonts w:ascii="Times New Roman" w:hAnsi="Times New Roman" w:cs="Times New Roman"/>
          <w:color w:val="212529"/>
          <w:sz w:val="24"/>
          <w:szCs w:val="24"/>
          <w:shd w:val="clear" w:color="auto" w:fill="FAFAFA"/>
        </w:rPr>
        <w:t xml:space="preserve"> message is a financial instrument</w:t>
      </w:r>
      <w:r w:rsidR="00FE4E0A" w:rsidRPr="003E2093">
        <w:rPr>
          <w:rFonts w:ascii="Times New Roman" w:hAnsi="Times New Roman" w:cs="Times New Roman"/>
          <w:color w:val="212529"/>
          <w:sz w:val="24"/>
          <w:szCs w:val="24"/>
          <w:shd w:val="clear" w:color="auto" w:fill="FAFAFA"/>
        </w:rPr>
        <w:t xml:space="preserve"> that contains a promise made by one party to pay the </w:t>
      </w:r>
      <w:r w:rsidR="00CB41B7" w:rsidRPr="003E2093">
        <w:rPr>
          <w:rFonts w:ascii="Times New Roman" w:hAnsi="Times New Roman" w:cs="Times New Roman"/>
          <w:color w:val="212529"/>
          <w:sz w:val="24"/>
          <w:szCs w:val="24"/>
          <w:shd w:val="clear" w:color="auto" w:fill="FAFAFA"/>
        </w:rPr>
        <w:t>other party</w:t>
      </w:r>
      <w:r w:rsidR="00FE4E0A" w:rsidRPr="003E2093">
        <w:rPr>
          <w:rFonts w:ascii="Times New Roman" w:hAnsi="Times New Roman" w:cs="Times New Roman"/>
          <w:color w:val="212529"/>
          <w:sz w:val="24"/>
          <w:szCs w:val="24"/>
          <w:shd w:val="clear" w:color="auto" w:fill="FAFAFA"/>
        </w:rPr>
        <w:t xml:space="preserve"> a definite </w:t>
      </w:r>
      <w:r w:rsidR="00947F92" w:rsidRPr="003E2093">
        <w:rPr>
          <w:rFonts w:ascii="Times New Roman" w:hAnsi="Times New Roman" w:cs="Times New Roman"/>
          <w:color w:val="212529"/>
          <w:sz w:val="24"/>
          <w:szCs w:val="24"/>
          <w:shd w:val="clear" w:color="auto" w:fill="FAFAFA"/>
        </w:rPr>
        <w:t xml:space="preserve">amount of money. The payment should be made either on-demand or at a specified </w:t>
      </w:r>
      <w:r w:rsidR="009F7E7D" w:rsidRPr="003E2093">
        <w:rPr>
          <w:rFonts w:ascii="Times New Roman" w:hAnsi="Times New Roman" w:cs="Times New Roman"/>
          <w:color w:val="212529"/>
          <w:sz w:val="24"/>
          <w:szCs w:val="24"/>
          <w:shd w:val="clear" w:color="auto" w:fill="FAFAFA"/>
        </w:rPr>
        <w:t>date in the future</w:t>
      </w:r>
      <w:r w:rsidR="00CB41B7" w:rsidRPr="003E2093">
        <w:rPr>
          <w:rFonts w:ascii="Times New Roman" w:hAnsi="Times New Roman" w:cs="Times New Roman"/>
          <w:color w:val="212529"/>
          <w:sz w:val="24"/>
          <w:szCs w:val="24"/>
          <w:shd w:val="clear" w:color="auto" w:fill="FAFAFA"/>
        </w:rPr>
        <w:t>, depending on their agreement</w:t>
      </w:r>
      <w:r w:rsidR="00643D2D" w:rsidRPr="003E2093">
        <w:rPr>
          <w:rFonts w:ascii="Times New Roman" w:hAnsi="Times New Roman" w:cs="Times New Roman"/>
          <w:color w:val="212529"/>
          <w:sz w:val="24"/>
          <w:szCs w:val="24"/>
          <w:shd w:val="clear" w:color="auto" w:fill="FAFAFA"/>
        </w:rPr>
        <w:t>.</w:t>
      </w:r>
      <w:r w:rsidR="00FE4E0A" w:rsidRPr="003E2093">
        <w:rPr>
          <w:rFonts w:ascii="Times New Roman" w:hAnsi="Times New Roman" w:cs="Times New Roman"/>
          <w:color w:val="212529"/>
          <w:sz w:val="24"/>
          <w:szCs w:val="24"/>
          <w:shd w:val="clear" w:color="auto" w:fill="FAFAFA"/>
        </w:rPr>
        <w:t xml:space="preserve"> </w:t>
      </w:r>
      <w:r w:rsidR="001635ED" w:rsidRPr="003E2093">
        <w:rPr>
          <w:rFonts w:ascii="Times New Roman" w:hAnsi="Times New Roman" w:cs="Times New Roman"/>
          <w:color w:val="212529"/>
          <w:sz w:val="24"/>
          <w:szCs w:val="24"/>
          <w:shd w:val="clear" w:color="auto" w:fill="FAFAFA"/>
        </w:rPr>
        <w:t>It is important to note that the promissory note</w:t>
      </w:r>
      <w:r w:rsidR="00D938D1" w:rsidRPr="003E2093">
        <w:rPr>
          <w:rFonts w:ascii="Times New Roman" w:hAnsi="Times New Roman" w:cs="Times New Roman"/>
          <w:color w:val="212529"/>
          <w:sz w:val="24"/>
          <w:szCs w:val="24"/>
          <w:shd w:val="clear" w:color="auto" w:fill="FAFAFA"/>
        </w:rPr>
        <w:t xml:space="preserve"> contains all the relevant terms pertaining the indebtedness. This includes </w:t>
      </w:r>
      <w:r w:rsidR="00D938D1" w:rsidRPr="003E2093">
        <w:rPr>
          <w:rFonts w:ascii="Times New Roman" w:hAnsi="Times New Roman" w:cs="Times New Roman"/>
          <w:color w:val="111111"/>
          <w:sz w:val="24"/>
          <w:szCs w:val="24"/>
          <w:shd w:val="clear" w:color="auto" w:fill="FFFFFF"/>
        </w:rPr>
        <w:t>the principal amount, interest rate, maturity date, date and place of issuance, and issuer's signature.</w:t>
      </w:r>
    </w:p>
    <w:p w:rsidR="00B122C3" w:rsidRDefault="0038743F" w:rsidP="00B122C3">
      <w:pPr>
        <w:spacing w:line="480" w:lineRule="auto"/>
        <w:ind w:firstLine="720"/>
        <w:rPr>
          <w:rFonts w:ascii="Times New Roman" w:hAnsi="Times New Roman" w:cs="Times New Roman"/>
          <w:sz w:val="24"/>
          <w:szCs w:val="24"/>
        </w:rPr>
      </w:pPr>
      <w:r w:rsidRPr="003E2093">
        <w:rPr>
          <w:rFonts w:ascii="Times New Roman" w:hAnsi="Times New Roman" w:cs="Times New Roman"/>
          <w:color w:val="111111"/>
          <w:sz w:val="24"/>
          <w:szCs w:val="24"/>
          <w:shd w:val="clear" w:color="auto" w:fill="FFFFFF"/>
        </w:rPr>
        <w:t xml:space="preserve">In </w:t>
      </w:r>
      <w:r w:rsidR="00005262" w:rsidRPr="003E2093">
        <w:rPr>
          <w:rFonts w:ascii="Times New Roman" w:hAnsi="Times New Roman" w:cs="Times New Roman"/>
          <w:color w:val="111111"/>
          <w:sz w:val="24"/>
          <w:szCs w:val="24"/>
          <w:shd w:val="clear" w:color="auto" w:fill="FFFFFF"/>
        </w:rPr>
        <w:t xml:space="preserve">this particular case, there is </w:t>
      </w:r>
      <w:r w:rsidRPr="003E2093">
        <w:rPr>
          <w:rFonts w:ascii="Times New Roman" w:hAnsi="Times New Roman" w:cs="Times New Roman"/>
          <w:color w:val="111111"/>
          <w:sz w:val="24"/>
          <w:szCs w:val="24"/>
          <w:shd w:val="clear" w:color="auto" w:fill="FFFFFF"/>
        </w:rPr>
        <w:t>a promissory</w:t>
      </w:r>
      <w:r w:rsidR="00005262" w:rsidRPr="003E2093">
        <w:rPr>
          <w:rFonts w:ascii="Times New Roman" w:hAnsi="Times New Roman" w:cs="Times New Roman"/>
          <w:color w:val="111111"/>
          <w:sz w:val="24"/>
          <w:szCs w:val="24"/>
          <w:shd w:val="clear" w:color="auto" w:fill="FFFFFF"/>
        </w:rPr>
        <w:t xml:space="preserve"> note made and is</w:t>
      </w:r>
      <w:r w:rsidRPr="003E2093">
        <w:rPr>
          <w:rFonts w:ascii="Times New Roman" w:hAnsi="Times New Roman" w:cs="Times New Roman"/>
          <w:color w:val="111111"/>
          <w:sz w:val="24"/>
          <w:szCs w:val="24"/>
          <w:shd w:val="clear" w:color="auto" w:fill="FFFFFF"/>
        </w:rPr>
        <w:t xml:space="preserve"> dated </w:t>
      </w:r>
      <w:r w:rsidRPr="003E2093">
        <w:rPr>
          <w:rFonts w:ascii="Times New Roman" w:hAnsi="Times New Roman" w:cs="Times New Roman"/>
          <w:color w:val="212529"/>
          <w:sz w:val="24"/>
          <w:szCs w:val="24"/>
          <w:shd w:val="clear" w:color="auto" w:fill="FAFAFA"/>
        </w:rPr>
        <w:t>September 26, 2009, wh</w:t>
      </w:r>
      <w:r w:rsidR="00092314" w:rsidRPr="003E2093">
        <w:rPr>
          <w:rFonts w:ascii="Times New Roman" w:hAnsi="Times New Roman" w:cs="Times New Roman"/>
          <w:color w:val="212529"/>
          <w:sz w:val="24"/>
          <w:szCs w:val="24"/>
          <w:shd w:val="clear" w:color="auto" w:fill="FAFAFA"/>
        </w:rPr>
        <w:t xml:space="preserve">ich provides in its entirety, </w:t>
      </w:r>
      <w:r w:rsidR="00D938D1" w:rsidRPr="003E2093">
        <w:rPr>
          <w:rFonts w:ascii="Times New Roman" w:hAnsi="Times New Roman" w:cs="Times New Roman"/>
          <w:color w:val="212529"/>
          <w:sz w:val="24"/>
          <w:szCs w:val="24"/>
          <w:shd w:val="clear" w:color="auto" w:fill="FAFAFA"/>
        </w:rPr>
        <w:t xml:space="preserve"> </w:t>
      </w:r>
      <w:r w:rsidR="00092314" w:rsidRPr="003E2093">
        <w:rPr>
          <w:rFonts w:ascii="Times New Roman" w:hAnsi="Times New Roman" w:cs="Times New Roman"/>
          <w:color w:val="212529"/>
          <w:sz w:val="24"/>
          <w:szCs w:val="24"/>
          <w:shd w:val="clear" w:color="auto" w:fill="FAFAFA"/>
        </w:rPr>
        <w:t>"I Michael Scotto owe Cindy Vinueza $2,970 (two thousand and nine-hundred seventy dollars) [sic] agree to pay her back in full. Signed on this 26th day of September 2009." Indicated on the bottom of the Note are the signatures of Michael Scotto and Cindy Vinueza</w:t>
      </w:r>
      <w:r w:rsidR="001A7F10">
        <w:rPr>
          <w:rFonts w:ascii="Times New Roman" w:hAnsi="Times New Roman" w:cs="Times New Roman"/>
          <w:color w:val="212529"/>
          <w:sz w:val="24"/>
          <w:szCs w:val="24"/>
          <w:shd w:val="clear" w:color="auto" w:fill="FAFAFA"/>
        </w:rPr>
        <w:t>, according to Sun et al</w:t>
      </w:r>
      <w:r w:rsidR="003D21E4" w:rsidRPr="003E2093">
        <w:rPr>
          <w:rFonts w:ascii="Times New Roman" w:hAnsi="Times New Roman" w:cs="Times New Roman"/>
          <w:color w:val="212529"/>
          <w:sz w:val="24"/>
          <w:szCs w:val="24"/>
          <w:shd w:val="clear" w:color="auto" w:fill="FAFAFA"/>
        </w:rPr>
        <w:t xml:space="preserve">. </w:t>
      </w:r>
      <w:r w:rsidR="009C24FC" w:rsidRPr="003E2093">
        <w:rPr>
          <w:rFonts w:ascii="Times New Roman" w:hAnsi="Times New Roman" w:cs="Times New Roman"/>
          <w:color w:val="212529"/>
          <w:sz w:val="24"/>
          <w:szCs w:val="24"/>
          <w:shd w:val="clear" w:color="auto" w:fill="FAFAFA"/>
        </w:rPr>
        <w:t>(</w:t>
      </w:r>
      <w:r w:rsidR="003D21E4" w:rsidRPr="003E2093">
        <w:rPr>
          <w:rFonts w:ascii="Times New Roman" w:hAnsi="Times New Roman" w:cs="Times New Roman"/>
          <w:color w:val="212529"/>
          <w:sz w:val="24"/>
          <w:szCs w:val="24"/>
          <w:shd w:val="clear" w:color="auto" w:fill="FAFAFA"/>
        </w:rPr>
        <w:t>2014</w:t>
      </w:r>
      <w:r w:rsidR="009C24FC" w:rsidRPr="003E2093">
        <w:rPr>
          <w:rFonts w:ascii="Times New Roman" w:hAnsi="Times New Roman" w:cs="Times New Roman"/>
          <w:color w:val="212529"/>
          <w:sz w:val="24"/>
          <w:szCs w:val="24"/>
          <w:shd w:val="clear" w:color="auto" w:fill="FAFAFA"/>
        </w:rPr>
        <w:t>).</w:t>
      </w:r>
      <w:r w:rsidR="00853AA8" w:rsidRPr="003E2093">
        <w:rPr>
          <w:rFonts w:ascii="Times New Roman" w:hAnsi="Times New Roman" w:cs="Times New Roman"/>
          <w:color w:val="212529"/>
          <w:sz w:val="24"/>
          <w:szCs w:val="24"/>
          <w:shd w:val="clear" w:color="auto" w:fill="FAFAFA"/>
        </w:rPr>
        <w:t>On the bottom of the promissory note are signatures</w:t>
      </w:r>
      <w:r w:rsidR="00240BAC" w:rsidRPr="003E2093">
        <w:rPr>
          <w:rFonts w:ascii="Times New Roman" w:hAnsi="Times New Roman" w:cs="Times New Roman"/>
          <w:color w:val="212529"/>
          <w:sz w:val="24"/>
          <w:szCs w:val="24"/>
          <w:shd w:val="clear" w:color="auto" w:fill="FAFAFA"/>
        </w:rPr>
        <w:t xml:space="preserve"> for both Michael Scotto and Cindy Vinueza</w:t>
      </w:r>
      <w:r w:rsidR="000F1B51" w:rsidRPr="003E2093">
        <w:rPr>
          <w:rFonts w:ascii="Times New Roman" w:hAnsi="Times New Roman" w:cs="Times New Roman"/>
          <w:color w:val="212529"/>
          <w:sz w:val="24"/>
          <w:szCs w:val="24"/>
          <w:shd w:val="clear" w:color="auto" w:fill="FAFAFA"/>
        </w:rPr>
        <w:t>.</w:t>
      </w:r>
      <w:r w:rsidR="00240BAC" w:rsidRPr="003E2093">
        <w:rPr>
          <w:rFonts w:ascii="Times New Roman" w:hAnsi="Times New Roman" w:cs="Times New Roman"/>
          <w:color w:val="212529"/>
          <w:sz w:val="24"/>
          <w:szCs w:val="24"/>
          <w:shd w:val="clear" w:color="auto" w:fill="FAFAFA"/>
        </w:rPr>
        <w:t xml:space="preserve"> </w:t>
      </w:r>
    </w:p>
    <w:p w:rsidR="00B122C3" w:rsidRPr="001E15FD" w:rsidRDefault="0038743F" w:rsidP="001E15FD">
      <w:pPr>
        <w:spacing w:line="480" w:lineRule="auto"/>
        <w:ind w:firstLine="720"/>
        <w:rPr>
          <w:rFonts w:ascii="Times New Roman" w:hAnsi="Times New Roman" w:cs="Times New Roman"/>
          <w:color w:val="2E2E2E"/>
          <w:sz w:val="24"/>
          <w:szCs w:val="24"/>
          <w:shd w:val="clear" w:color="auto" w:fill="FFFFFB"/>
        </w:rPr>
      </w:pPr>
      <w:r w:rsidRPr="003E2093">
        <w:rPr>
          <w:rFonts w:ascii="Times New Roman" w:hAnsi="Times New Roman" w:cs="Times New Roman"/>
          <w:color w:val="212529"/>
          <w:sz w:val="24"/>
          <w:szCs w:val="24"/>
          <w:shd w:val="clear" w:color="auto" w:fill="FAFAFA"/>
        </w:rPr>
        <w:lastRenderedPageBreak/>
        <w:t>During the court proceedings, the defendant does not contest th</w:t>
      </w:r>
      <w:r w:rsidR="00801D21" w:rsidRPr="003E2093">
        <w:rPr>
          <w:rFonts w:ascii="Times New Roman" w:hAnsi="Times New Roman" w:cs="Times New Roman"/>
          <w:color w:val="212529"/>
          <w:sz w:val="24"/>
          <w:szCs w:val="24"/>
          <w:shd w:val="clear" w:color="auto" w:fill="FAFAFA"/>
        </w:rPr>
        <w:t>at</w:t>
      </w:r>
      <w:r w:rsidRPr="003E2093">
        <w:rPr>
          <w:rFonts w:ascii="Times New Roman" w:hAnsi="Times New Roman" w:cs="Times New Roman"/>
          <w:color w:val="212529"/>
          <w:sz w:val="24"/>
          <w:szCs w:val="24"/>
          <w:shd w:val="clear" w:color="auto" w:fill="FAFAFA"/>
        </w:rPr>
        <w:t xml:space="preserve"> he had borrowed the money </w:t>
      </w:r>
      <w:r w:rsidR="00801D21" w:rsidRPr="003E2093">
        <w:rPr>
          <w:rFonts w:ascii="Times New Roman" w:hAnsi="Times New Roman" w:cs="Times New Roman"/>
          <w:color w:val="212529"/>
          <w:sz w:val="24"/>
          <w:szCs w:val="24"/>
          <w:shd w:val="clear" w:color="auto" w:fill="FAFAFA"/>
        </w:rPr>
        <w:t>from Vinueza. However, Scott</w:t>
      </w:r>
      <w:r w:rsidR="00BD791D">
        <w:rPr>
          <w:rFonts w:ascii="Times New Roman" w:hAnsi="Times New Roman" w:cs="Times New Roman"/>
          <w:color w:val="212529"/>
          <w:sz w:val="24"/>
          <w:szCs w:val="24"/>
          <w:shd w:val="clear" w:color="auto" w:fill="FAFAFA"/>
        </w:rPr>
        <w:t>o</w:t>
      </w:r>
      <w:r w:rsidR="00801D21" w:rsidRPr="003E2093">
        <w:rPr>
          <w:rFonts w:ascii="Times New Roman" w:hAnsi="Times New Roman" w:cs="Times New Roman"/>
          <w:color w:val="212529"/>
          <w:sz w:val="24"/>
          <w:szCs w:val="24"/>
          <w:shd w:val="clear" w:color="auto" w:fill="FAFAFA"/>
        </w:rPr>
        <w:t xml:space="preserve"> contends that he repaid the money in its total amount. Still, he could not execute the note on the 26</w:t>
      </w:r>
      <w:r w:rsidR="00801D21" w:rsidRPr="003E2093">
        <w:rPr>
          <w:rFonts w:ascii="Times New Roman" w:hAnsi="Times New Roman" w:cs="Times New Roman"/>
          <w:color w:val="212529"/>
          <w:sz w:val="24"/>
          <w:szCs w:val="24"/>
          <w:shd w:val="clear" w:color="auto" w:fill="FAFAFA"/>
          <w:vertAlign w:val="superscript"/>
        </w:rPr>
        <w:t>th</w:t>
      </w:r>
      <w:r w:rsidR="00801D21" w:rsidRPr="003E2093">
        <w:rPr>
          <w:rFonts w:ascii="Times New Roman" w:hAnsi="Times New Roman" w:cs="Times New Roman"/>
          <w:color w:val="212529"/>
          <w:sz w:val="24"/>
          <w:szCs w:val="24"/>
          <w:shd w:val="clear" w:color="auto" w:fill="FAFAFA"/>
        </w:rPr>
        <w:t xml:space="preserve"> of September 2009 as, during that time, he allegedly suffered from a chemical dependency </w:t>
      </w:r>
      <w:r w:rsidR="0027786F" w:rsidRPr="003E2093">
        <w:rPr>
          <w:rFonts w:ascii="Times New Roman" w:hAnsi="Times New Roman" w:cs="Times New Roman"/>
          <w:color w:val="212529"/>
          <w:sz w:val="24"/>
          <w:szCs w:val="24"/>
          <w:shd w:val="clear" w:color="auto" w:fill="FAFAFA"/>
        </w:rPr>
        <w:t xml:space="preserve">referred to as </w:t>
      </w:r>
      <w:r w:rsidR="00801D21" w:rsidRPr="003E2093">
        <w:rPr>
          <w:rFonts w:ascii="Times New Roman" w:hAnsi="Times New Roman" w:cs="Times New Roman"/>
          <w:color w:val="212529"/>
          <w:sz w:val="24"/>
          <w:szCs w:val="24"/>
          <w:shd w:val="clear" w:color="auto" w:fill="FAFAFA"/>
        </w:rPr>
        <w:t>opiates.</w:t>
      </w:r>
      <w:r w:rsidR="00AA16DC" w:rsidRPr="003E2093">
        <w:rPr>
          <w:rFonts w:ascii="Times New Roman" w:hAnsi="Times New Roman" w:cs="Times New Roman"/>
          <w:color w:val="212529"/>
          <w:sz w:val="24"/>
          <w:szCs w:val="24"/>
          <w:shd w:val="clear" w:color="auto" w:fill="FAFAFA"/>
        </w:rPr>
        <w:t xml:space="preserve"> </w:t>
      </w:r>
      <w:r w:rsidR="00374A77" w:rsidRPr="003E2093">
        <w:rPr>
          <w:rFonts w:ascii="Times New Roman" w:hAnsi="Times New Roman" w:cs="Times New Roman"/>
          <w:color w:val="212529"/>
          <w:sz w:val="24"/>
          <w:szCs w:val="24"/>
          <w:shd w:val="clear" w:color="auto" w:fill="FAFAFA"/>
        </w:rPr>
        <w:t xml:space="preserve">An </w:t>
      </w:r>
      <w:r w:rsidR="00D26E99" w:rsidRPr="003E2093">
        <w:rPr>
          <w:rFonts w:ascii="Times New Roman" w:hAnsi="Times New Roman" w:cs="Times New Roman"/>
          <w:color w:val="212529"/>
          <w:sz w:val="24"/>
          <w:szCs w:val="24"/>
          <w:shd w:val="clear" w:color="auto" w:fill="FAFAFA"/>
        </w:rPr>
        <w:t xml:space="preserve">Opiates </w:t>
      </w:r>
      <w:r w:rsidR="00D26E99" w:rsidRPr="003E2093">
        <w:rPr>
          <w:rFonts w:ascii="Times New Roman" w:hAnsi="Times New Roman" w:cs="Times New Roman"/>
          <w:color w:val="2E2E2E"/>
          <w:sz w:val="24"/>
          <w:szCs w:val="24"/>
          <w:shd w:val="clear" w:color="auto" w:fill="FFFFFB"/>
        </w:rPr>
        <w:t>is</w:t>
      </w:r>
      <w:r w:rsidR="00374A77" w:rsidRPr="003E2093">
        <w:rPr>
          <w:rFonts w:ascii="Times New Roman" w:hAnsi="Times New Roman" w:cs="Times New Roman"/>
          <w:color w:val="2E2E2E"/>
          <w:sz w:val="24"/>
          <w:szCs w:val="24"/>
          <w:shd w:val="clear" w:color="auto" w:fill="FFFFFB"/>
        </w:rPr>
        <w:t xml:space="preserve"> a type of analgesic agent</w:t>
      </w:r>
      <w:r w:rsidR="001E15FD">
        <w:rPr>
          <w:rFonts w:ascii="Times New Roman" w:hAnsi="Times New Roman" w:cs="Times New Roman"/>
          <w:color w:val="2E2E2E"/>
          <w:sz w:val="24"/>
          <w:szCs w:val="24"/>
          <w:shd w:val="clear" w:color="auto" w:fill="FFFFFB"/>
        </w:rPr>
        <w:t xml:space="preserve"> </w:t>
      </w:r>
      <w:r w:rsidR="001E15FD" w:rsidRPr="001E15FD">
        <w:rPr>
          <w:rFonts w:ascii="Times New Roman" w:hAnsi="Times New Roman" w:cs="Times New Roman"/>
          <w:color w:val="2E2E2E"/>
          <w:sz w:val="24"/>
          <w:szCs w:val="24"/>
          <w:shd w:val="clear" w:color="auto" w:fill="FFFFFB"/>
        </w:rPr>
        <w:t>(Sun et., 2014)</w:t>
      </w:r>
      <w:r w:rsidR="00374A77" w:rsidRPr="003E2093">
        <w:rPr>
          <w:rFonts w:ascii="Times New Roman" w:hAnsi="Times New Roman" w:cs="Times New Roman"/>
          <w:color w:val="2E2E2E"/>
          <w:sz w:val="24"/>
          <w:szCs w:val="24"/>
          <w:shd w:val="clear" w:color="auto" w:fill="FFFFFB"/>
        </w:rPr>
        <w:t>.</w:t>
      </w:r>
      <w:r w:rsidR="00436A8B" w:rsidRPr="003E2093">
        <w:rPr>
          <w:rFonts w:ascii="Times New Roman" w:hAnsi="Times New Roman" w:cs="Times New Roman"/>
          <w:color w:val="2E2E2E"/>
          <w:sz w:val="24"/>
          <w:szCs w:val="24"/>
          <w:shd w:val="clear" w:color="auto" w:fill="FFFFFB"/>
        </w:rPr>
        <w:t xml:space="preserve"> In other words, these are substances with active </w:t>
      </w:r>
      <w:r w:rsidR="00251B75" w:rsidRPr="003E2093">
        <w:rPr>
          <w:rFonts w:ascii="Times New Roman" w:hAnsi="Times New Roman" w:cs="Times New Roman"/>
          <w:color w:val="2E2E2E"/>
          <w:sz w:val="24"/>
          <w:szCs w:val="24"/>
          <w:shd w:val="clear" w:color="auto" w:fill="FFFFFB"/>
        </w:rPr>
        <w:t>ingredients</w:t>
      </w:r>
      <w:r w:rsidR="00436A8B" w:rsidRPr="003E2093">
        <w:rPr>
          <w:rFonts w:ascii="Times New Roman" w:hAnsi="Times New Roman" w:cs="Times New Roman"/>
          <w:color w:val="2E2E2E"/>
          <w:sz w:val="24"/>
          <w:szCs w:val="24"/>
          <w:shd w:val="clear" w:color="auto" w:fill="FFFFFB"/>
        </w:rPr>
        <w:t xml:space="preserve"> that are used to treat pain or cause someone to sleep.</w:t>
      </w:r>
      <w:r w:rsidR="002F153C" w:rsidRPr="003E2093">
        <w:rPr>
          <w:rFonts w:ascii="Times New Roman" w:hAnsi="Times New Roman" w:cs="Times New Roman"/>
          <w:color w:val="2E2E2E"/>
          <w:sz w:val="24"/>
          <w:szCs w:val="24"/>
          <w:shd w:val="clear" w:color="auto" w:fill="FFFFFB"/>
        </w:rPr>
        <w:t xml:space="preserve"> Examples are codeine and heroin</w:t>
      </w:r>
      <w:r w:rsidR="00AA16DC" w:rsidRPr="003E2093">
        <w:rPr>
          <w:rFonts w:ascii="Times New Roman" w:hAnsi="Times New Roman" w:cs="Times New Roman"/>
          <w:color w:val="2E2E2E"/>
          <w:sz w:val="24"/>
          <w:szCs w:val="24"/>
          <w:shd w:val="clear" w:color="auto" w:fill="FFFFFB"/>
        </w:rPr>
        <w:t>.</w:t>
      </w:r>
    </w:p>
    <w:p w:rsidR="00B122C3" w:rsidRDefault="0038743F" w:rsidP="00B122C3">
      <w:pPr>
        <w:spacing w:line="480" w:lineRule="auto"/>
        <w:ind w:firstLine="720"/>
        <w:rPr>
          <w:rFonts w:ascii="Times New Roman" w:hAnsi="Times New Roman" w:cs="Times New Roman"/>
          <w:sz w:val="24"/>
          <w:szCs w:val="24"/>
        </w:rPr>
      </w:pPr>
      <w:r w:rsidRPr="003E2093">
        <w:rPr>
          <w:rFonts w:ascii="Times New Roman" w:hAnsi="Times New Roman" w:cs="Times New Roman"/>
          <w:color w:val="212529"/>
          <w:sz w:val="24"/>
          <w:szCs w:val="24"/>
          <w:shd w:val="clear" w:color="auto" w:fill="FAFAFA"/>
        </w:rPr>
        <w:t xml:space="preserve">According to section 3-104 of the </w:t>
      </w:r>
      <w:r w:rsidR="003024B3" w:rsidRPr="003E2093">
        <w:rPr>
          <w:rFonts w:ascii="Times New Roman" w:hAnsi="Times New Roman" w:cs="Times New Roman"/>
          <w:color w:val="212529"/>
          <w:sz w:val="24"/>
          <w:szCs w:val="24"/>
          <w:shd w:val="clear" w:color="auto" w:fill="FAFAFA"/>
        </w:rPr>
        <w:t>uniform commercial code, it must fulfil the following conditions for any writing to be a negotiable instrument.</w:t>
      </w:r>
      <w:r w:rsidR="000E69AD" w:rsidRPr="003E2093">
        <w:rPr>
          <w:rFonts w:ascii="Times New Roman" w:hAnsi="Times New Roman" w:cs="Times New Roman"/>
          <w:color w:val="212529"/>
          <w:sz w:val="24"/>
          <w:szCs w:val="24"/>
          <w:shd w:val="clear" w:color="auto" w:fill="FAFAFA"/>
        </w:rPr>
        <w:t xml:space="preserve"> One, it must contain the signature of the maker or the drawer,</w:t>
      </w:r>
      <w:r w:rsidR="00181B38" w:rsidRPr="003E2093">
        <w:rPr>
          <w:rFonts w:ascii="Times New Roman" w:hAnsi="Times New Roman" w:cs="Times New Roman"/>
          <w:color w:val="212529"/>
          <w:sz w:val="24"/>
          <w:szCs w:val="24"/>
          <w:shd w:val="clear" w:color="auto" w:fill="FAFAFA"/>
        </w:rPr>
        <w:t xml:space="preserve"> two, it </w:t>
      </w:r>
      <w:r w:rsidR="0083416B" w:rsidRPr="003E2093">
        <w:rPr>
          <w:rFonts w:ascii="Times New Roman" w:hAnsi="Times New Roman" w:cs="Times New Roman"/>
          <w:color w:val="212529"/>
          <w:sz w:val="24"/>
          <w:szCs w:val="24"/>
          <w:shd w:val="clear" w:color="auto" w:fill="FAFAFA"/>
        </w:rPr>
        <w:t>must have an unconditional promise</w:t>
      </w:r>
      <w:r w:rsidR="00181B38" w:rsidRPr="003E2093">
        <w:rPr>
          <w:rFonts w:ascii="Times New Roman" w:hAnsi="Times New Roman" w:cs="Times New Roman"/>
          <w:color w:val="212529"/>
          <w:sz w:val="24"/>
          <w:szCs w:val="24"/>
          <w:shd w:val="clear" w:color="auto" w:fill="FAFAFA"/>
        </w:rPr>
        <w:t xml:space="preserve"> or order to pay a certain sum of money</w:t>
      </w:r>
      <w:r w:rsidR="003024B3" w:rsidRPr="003E2093">
        <w:rPr>
          <w:rFonts w:ascii="Times New Roman" w:hAnsi="Times New Roman" w:cs="Times New Roman"/>
          <w:color w:val="212529"/>
          <w:sz w:val="24"/>
          <w:szCs w:val="24"/>
          <w:shd w:val="clear" w:color="auto" w:fill="FAFAFA"/>
        </w:rPr>
        <w:t xml:space="preserve"> </w:t>
      </w:r>
      <w:r w:rsidR="002D3851" w:rsidRPr="003E2093">
        <w:rPr>
          <w:rFonts w:ascii="Times New Roman" w:hAnsi="Times New Roman" w:cs="Times New Roman"/>
          <w:color w:val="212529"/>
          <w:sz w:val="24"/>
          <w:szCs w:val="24"/>
          <w:shd w:val="clear" w:color="auto" w:fill="FAFAFA"/>
        </w:rPr>
        <w:t>and no other guarantee, charge, obligation or power given by the maker or drawer except as authorized by this Article</w:t>
      </w:r>
      <w:r w:rsidR="003B5ABE" w:rsidRPr="003E2093">
        <w:rPr>
          <w:rFonts w:ascii="Times New Roman" w:hAnsi="Times New Roman" w:cs="Times New Roman"/>
          <w:color w:val="212529"/>
          <w:sz w:val="24"/>
          <w:szCs w:val="24"/>
          <w:shd w:val="clear" w:color="auto" w:fill="FAFAFA"/>
        </w:rPr>
        <w:t xml:space="preserve">, condition three is that the money should be </w:t>
      </w:r>
      <w:r w:rsidR="001F12AE" w:rsidRPr="003E2093">
        <w:rPr>
          <w:rFonts w:ascii="Times New Roman" w:hAnsi="Times New Roman" w:cs="Times New Roman"/>
          <w:color w:val="212529"/>
          <w:sz w:val="24"/>
          <w:szCs w:val="24"/>
          <w:shd w:val="clear" w:color="auto" w:fill="FAFAFA"/>
        </w:rPr>
        <w:t>payable on demand or at a definite time</w:t>
      </w:r>
      <w:r w:rsidR="00DE524B" w:rsidRPr="003E2093">
        <w:rPr>
          <w:rFonts w:ascii="Times New Roman" w:hAnsi="Times New Roman" w:cs="Times New Roman"/>
          <w:color w:val="212529"/>
          <w:sz w:val="24"/>
          <w:szCs w:val="24"/>
          <w:shd w:val="clear" w:color="auto" w:fill="FAFAFA"/>
        </w:rPr>
        <w:t xml:space="preserve"> and the fourth condition is that the money </w:t>
      </w:r>
      <w:r w:rsidR="007C7CD9" w:rsidRPr="003E2093">
        <w:rPr>
          <w:rFonts w:ascii="Times New Roman" w:hAnsi="Times New Roman" w:cs="Times New Roman"/>
          <w:color w:val="212529"/>
          <w:sz w:val="24"/>
          <w:szCs w:val="24"/>
          <w:shd w:val="clear" w:color="auto" w:fill="FAFAFA"/>
        </w:rPr>
        <w:t>should</w:t>
      </w:r>
      <w:r w:rsidR="00DE524B" w:rsidRPr="003E2093">
        <w:rPr>
          <w:rFonts w:ascii="Times New Roman" w:hAnsi="Times New Roman" w:cs="Times New Roman"/>
          <w:color w:val="212529"/>
          <w:sz w:val="24"/>
          <w:szCs w:val="24"/>
          <w:shd w:val="clear" w:color="auto" w:fill="FAFAFA"/>
        </w:rPr>
        <w:t xml:space="preserve"> be paid to be expected on-demand or at a substantial time</w:t>
      </w:r>
      <w:r w:rsidR="00BA5BA7" w:rsidRPr="003E2093">
        <w:rPr>
          <w:rFonts w:ascii="Times New Roman" w:hAnsi="Times New Roman" w:cs="Times New Roman"/>
          <w:color w:val="212529"/>
          <w:sz w:val="24"/>
          <w:szCs w:val="24"/>
          <w:shd w:val="clear" w:color="auto" w:fill="FAFAFA"/>
        </w:rPr>
        <w:t>.</w:t>
      </w:r>
    </w:p>
    <w:p w:rsidR="00B122C3" w:rsidRDefault="0038743F" w:rsidP="00B122C3">
      <w:pPr>
        <w:spacing w:line="480" w:lineRule="auto"/>
        <w:ind w:firstLine="720"/>
        <w:rPr>
          <w:rFonts w:ascii="Times New Roman" w:hAnsi="Times New Roman" w:cs="Times New Roman"/>
          <w:color w:val="212529"/>
          <w:sz w:val="24"/>
          <w:szCs w:val="24"/>
          <w:shd w:val="clear" w:color="auto" w:fill="FAFAFA"/>
        </w:rPr>
      </w:pPr>
      <w:r w:rsidRPr="003E2093">
        <w:rPr>
          <w:rFonts w:ascii="Times New Roman" w:hAnsi="Times New Roman" w:cs="Times New Roman"/>
          <w:color w:val="212529"/>
          <w:sz w:val="24"/>
          <w:szCs w:val="24"/>
          <w:shd w:val="clear" w:color="auto" w:fill="FAFAFA"/>
        </w:rPr>
        <w:t>Further</w:t>
      </w:r>
      <w:r w:rsidR="00AA2AC4" w:rsidRPr="003E2093">
        <w:rPr>
          <w:rFonts w:ascii="Times New Roman" w:hAnsi="Times New Roman" w:cs="Times New Roman"/>
          <w:color w:val="212529"/>
          <w:sz w:val="24"/>
          <w:szCs w:val="24"/>
          <w:shd w:val="clear" w:color="auto" w:fill="FAFAFA"/>
        </w:rPr>
        <w:t>, the uniform commercial code 3-</w:t>
      </w:r>
      <w:r w:rsidR="00A21D9C" w:rsidRPr="003E2093">
        <w:rPr>
          <w:rFonts w:ascii="Times New Roman" w:hAnsi="Times New Roman" w:cs="Times New Roman"/>
          <w:color w:val="212529"/>
          <w:sz w:val="24"/>
          <w:szCs w:val="24"/>
          <w:shd w:val="clear" w:color="auto" w:fill="FAFAFA"/>
        </w:rPr>
        <w:t>108 states</w:t>
      </w:r>
      <w:r w:rsidRPr="003E2093">
        <w:rPr>
          <w:rFonts w:ascii="Times New Roman" w:hAnsi="Times New Roman" w:cs="Times New Roman"/>
          <w:color w:val="212529"/>
          <w:sz w:val="24"/>
          <w:szCs w:val="24"/>
          <w:shd w:val="clear" w:color="auto" w:fill="FAFAFA"/>
        </w:rPr>
        <w:t xml:space="preserve"> that the Instruments that are to be payable on demand include those payable at sight or on presentation and those in which no time for payment is </w:t>
      </w:r>
      <w:r w:rsidRPr="003E2093">
        <w:rPr>
          <w:rFonts w:ascii="Times New Roman" w:hAnsi="Times New Roman" w:cs="Times New Roman"/>
          <w:color w:val="212529"/>
          <w:sz w:val="24"/>
          <w:szCs w:val="24"/>
          <w:shd w:val="clear" w:color="auto" w:fill="FAFAFA"/>
        </w:rPr>
        <w:t>stated.</w:t>
      </w:r>
      <w:r w:rsidR="00A21D9C" w:rsidRPr="003E2093">
        <w:rPr>
          <w:rFonts w:ascii="Times New Roman" w:hAnsi="Times New Roman" w:cs="Times New Roman"/>
          <w:color w:val="212529"/>
          <w:sz w:val="24"/>
          <w:szCs w:val="24"/>
          <w:shd w:val="clear" w:color="auto" w:fill="FAFAFA"/>
        </w:rPr>
        <w:t xml:space="preserve"> Therefore an instrument is payable immediately. This applies if there is no fixed time and there is no contingency specified upon which amount is to be made </w:t>
      </w:r>
      <w:r w:rsidR="002754FA" w:rsidRPr="003E2093">
        <w:rPr>
          <w:rFonts w:ascii="Times New Roman" w:hAnsi="Times New Roman" w:cs="Times New Roman"/>
          <w:color w:val="212529"/>
          <w:sz w:val="24"/>
          <w:szCs w:val="24"/>
          <w:shd w:val="clear" w:color="auto" w:fill="FAFAFA"/>
        </w:rPr>
        <w:t>(Sun</w:t>
      </w:r>
      <w:r w:rsidR="001A7F10">
        <w:rPr>
          <w:rFonts w:ascii="Times New Roman" w:hAnsi="Times New Roman" w:cs="Times New Roman"/>
          <w:color w:val="212529"/>
          <w:sz w:val="24"/>
          <w:szCs w:val="24"/>
          <w:shd w:val="clear" w:color="auto" w:fill="FAFAFA"/>
        </w:rPr>
        <w:t xml:space="preserve"> et al.,</w:t>
      </w:r>
      <w:r w:rsidR="002754FA" w:rsidRPr="003E2093">
        <w:rPr>
          <w:rFonts w:ascii="Times New Roman" w:hAnsi="Times New Roman" w:cs="Times New Roman"/>
          <w:color w:val="212529"/>
          <w:sz w:val="24"/>
          <w:szCs w:val="24"/>
          <w:shd w:val="clear" w:color="auto" w:fill="FAFAFA"/>
        </w:rPr>
        <w:t xml:space="preserve"> 2014).</w:t>
      </w:r>
      <w:r w:rsidR="00DB6B1F" w:rsidRPr="003E2093">
        <w:rPr>
          <w:rFonts w:ascii="Times New Roman" w:hAnsi="Times New Roman" w:cs="Times New Roman"/>
          <w:color w:val="212529"/>
          <w:sz w:val="24"/>
          <w:szCs w:val="24"/>
          <w:shd w:val="clear" w:color="auto" w:fill="FAFAFA"/>
        </w:rPr>
        <w:t xml:space="preserve"> Hence writing that complies with the</w:t>
      </w:r>
      <w:r w:rsidR="008173C2" w:rsidRPr="003E2093">
        <w:rPr>
          <w:rFonts w:ascii="Times New Roman" w:hAnsi="Times New Roman" w:cs="Times New Roman"/>
          <w:color w:val="212529"/>
          <w:sz w:val="24"/>
          <w:szCs w:val="24"/>
          <w:shd w:val="clear" w:color="auto" w:fill="FAFAFA"/>
        </w:rPr>
        <w:t xml:space="preserve"> requirements of </w:t>
      </w:r>
      <w:r w:rsidR="00A2269F" w:rsidRPr="003E2093">
        <w:rPr>
          <w:rFonts w:ascii="Times New Roman" w:hAnsi="Times New Roman" w:cs="Times New Roman"/>
          <w:color w:val="212529"/>
          <w:sz w:val="24"/>
          <w:szCs w:val="24"/>
          <w:shd w:val="clear" w:color="auto" w:fill="FAFAFA"/>
        </w:rPr>
        <w:t>section 3-104 is considered a note if it is a promise and not a certificate of deposit.</w:t>
      </w:r>
      <w:r w:rsidR="002C20E9" w:rsidRPr="003E2093">
        <w:rPr>
          <w:rFonts w:ascii="Times New Roman" w:hAnsi="Times New Roman" w:cs="Times New Roman"/>
          <w:color w:val="212529"/>
          <w:sz w:val="24"/>
          <w:szCs w:val="24"/>
          <w:shd w:val="clear" w:color="auto" w:fill="FAFAFA"/>
        </w:rPr>
        <w:t xml:space="preserve"> Also, a guarantee is an undertaking to pay and must be more than an acknowledgement of an </w:t>
      </w:r>
      <w:r w:rsidR="00915695" w:rsidRPr="003E2093">
        <w:rPr>
          <w:rFonts w:ascii="Times New Roman" w:hAnsi="Times New Roman" w:cs="Times New Roman"/>
          <w:color w:val="212529"/>
          <w:sz w:val="24"/>
          <w:szCs w:val="24"/>
          <w:shd w:val="clear" w:color="auto" w:fill="FAFAFA"/>
        </w:rPr>
        <w:t>obligation</w:t>
      </w:r>
      <w:r w:rsidR="002C20E9" w:rsidRPr="003E2093">
        <w:rPr>
          <w:rFonts w:ascii="Times New Roman" w:hAnsi="Times New Roman" w:cs="Times New Roman"/>
          <w:color w:val="212529"/>
          <w:sz w:val="24"/>
          <w:szCs w:val="24"/>
          <w:shd w:val="clear" w:color="auto" w:fill="FAFAFA"/>
        </w:rPr>
        <w:t xml:space="preserve"> as clearly stated in the N</w:t>
      </w:r>
      <w:r w:rsidR="008115BF" w:rsidRPr="003E2093">
        <w:rPr>
          <w:rFonts w:ascii="Times New Roman" w:hAnsi="Times New Roman" w:cs="Times New Roman"/>
          <w:color w:val="212529"/>
          <w:sz w:val="24"/>
          <w:szCs w:val="24"/>
          <w:shd w:val="clear" w:color="auto" w:fill="FAFAFA"/>
        </w:rPr>
        <w:t>ew York Uniform Commercial Code section 3-102.</w:t>
      </w:r>
    </w:p>
    <w:p w:rsidR="00B122C3" w:rsidRDefault="0038743F" w:rsidP="00B122C3">
      <w:pPr>
        <w:spacing w:line="480" w:lineRule="auto"/>
        <w:ind w:firstLine="720"/>
        <w:rPr>
          <w:rFonts w:ascii="Times New Roman" w:hAnsi="Times New Roman" w:cs="Times New Roman"/>
          <w:color w:val="212529"/>
          <w:sz w:val="24"/>
          <w:szCs w:val="24"/>
          <w:shd w:val="clear" w:color="auto" w:fill="FAFAFA"/>
        </w:rPr>
      </w:pPr>
      <w:r w:rsidRPr="003E2093">
        <w:rPr>
          <w:rFonts w:ascii="Times New Roman" w:hAnsi="Times New Roman" w:cs="Times New Roman"/>
          <w:color w:val="212529"/>
          <w:sz w:val="24"/>
          <w:szCs w:val="24"/>
          <w:shd w:val="clear" w:color="auto" w:fill="FAFAFA"/>
        </w:rPr>
        <w:t xml:space="preserve">Now, looking at the </w:t>
      </w:r>
      <w:r w:rsidR="001C6266" w:rsidRPr="003E2093">
        <w:rPr>
          <w:rFonts w:ascii="Times New Roman" w:hAnsi="Times New Roman" w:cs="Times New Roman"/>
          <w:color w:val="212529"/>
          <w:sz w:val="24"/>
          <w:szCs w:val="24"/>
          <w:shd w:val="clear" w:color="auto" w:fill="FAFAFA"/>
        </w:rPr>
        <w:t xml:space="preserve">facts in the </w:t>
      </w:r>
      <w:r w:rsidRPr="003E2093">
        <w:rPr>
          <w:rFonts w:ascii="Times New Roman" w:hAnsi="Times New Roman" w:cs="Times New Roman"/>
          <w:color w:val="212529"/>
          <w:sz w:val="24"/>
          <w:szCs w:val="24"/>
          <w:shd w:val="clear" w:color="auto" w:fill="FAFAFA"/>
        </w:rPr>
        <w:t>case at hand and considering all the above principles,</w:t>
      </w:r>
      <w:r w:rsidR="00B94F3E" w:rsidRPr="003E2093">
        <w:rPr>
          <w:rFonts w:ascii="Times New Roman" w:hAnsi="Times New Roman" w:cs="Times New Roman"/>
          <w:color w:val="212529"/>
          <w:sz w:val="24"/>
          <w:szCs w:val="24"/>
          <w:shd w:val="clear" w:color="auto" w:fill="FAFAFA"/>
        </w:rPr>
        <w:t xml:space="preserve"> all the requirements that must be met for a note to be regarded as a valid</w:t>
      </w:r>
      <w:r w:rsidR="009E6F69" w:rsidRPr="003E2093">
        <w:rPr>
          <w:rFonts w:ascii="Times New Roman" w:hAnsi="Times New Roman" w:cs="Times New Roman"/>
          <w:color w:val="212529"/>
          <w:sz w:val="24"/>
          <w:szCs w:val="24"/>
          <w:shd w:val="clear" w:color="auto" w:fill="FAFAFA"/>
        </w:rPr>
        <w:t xml:space="preserve"> negotiable instrument are</w:t>
      </w:r>
      <w:r w:rsidR="00B94F3E" w:rsidRPr="003E2093">
        <w:rPr>
          <w:rFonts w:ascii="Times New Roman" w:hAnsi="Times New Roman" w:cs="Times New Roman"/>
          <w:color w:val="212529"/>
          <w:sz w:val="24"/>
          <w:szCs w:val="24"/>
          <w:shd w:val="clear" w:color="auto" w:fill="FAFAFA"/>
        </w:rPr>
        <w:t xml:space="preserve"> </w:t>
      </w:r>
      <w:r w:rsidR="00B94F3E" w:rsidRPr="003E2093">
        <w:rPr>
          <w:rFonts w:ascii="Times New Roman" w:hAnsi="Times New Roman" w:cs="Times New Roman"/>
          <w:color w:val="212529"/>
          <w:sz w:val="24"/>
          <w:szCs w:val="24"/>
          <w:shd w:val="clear" w:color="auto" w:fill="FAFAFA"/>
        </w:rPr>
        <w:lastRenderedPageBreak/>
        <w:t>in place.</w:t>
      </w:r>
      <w:r w:rsidR="00BF168C" w:rsidRPr="003E2093">
        <w:rPr>
          <w:rFonts w:ascii="Times New Roman" w:hAnsi="Times New Roman" w:cs="Times New Roman"/>
          <w:color w:val="212529"/>
          <w:sz w:val="24"/>
          <w:szCs w:val="24"/>
          <w:shd w:val="clear" w:color="auto" w:fill="FAFAFA"/>
        </w:rPr>
        <w:t xml:space="preserve"> All the standards of the uniform commercial code are also met. This is shown in the evidence provided </w:t>
      </w:r>
      <w:r w:rsidR="00503241" w:rsidRPr="003E2093">
        <w:rPr>
          <w:rFonts w:ascii="Times New Roman" w:hAnsi="Times New Roman" w:cs="Times New Roman"/>
          <w:color w:val="212529"/>
          <w:sz w:val="24"/>
          <w:szCs w:val="24"/>
          <w:shd w:val="clear" w:color="auto" w:fill="FAFAFA"/>
        </w:rPr>
        <w:t xml:space="preserve">in the case, which is as follows: </w:t>
      </w:r>
      <w:r w:rsidR="004843F8" w:rsidRPr="003E2093">
        <w:rPr>
          <w:rFonts w:ascii="Times New Roman" w:hAnsi="Times New Roman" w:cs="Times New Roman"/>
          <w:color w:val="212529"/>
          <w:sz w:val="24"/>
          <w:szCs w:val="24"/>
          <w:shd w:val="clear" w:color="auto" w:fill="FAFAFA"/>
        </w:rPr>
        <w:t>Michael</w:t>
      </w:r>
      <w:r w:rsidR="00503241" w:rsidRPr="003E2093">
        <w:rPr>
          <w:rFonts w:ascii="Times New Roman" w:hAnsi="Times New Roman" w:cs="Times New Roman"/>
          <w:color w:val="212529"/>
          <w:sz w:val="24"/>
          <w:szCs w:val="24"/>
          <w:shd w:val="clear" w:color="auto" w:fill="FAFAFA"/>
        </w:rPr>
        <w:t xml:space="preserve"> Scotto, who is the maker of the note, has signed it, there are no conditions or promises that must occur other than the unconditional promise to pay the sum of two thousand nine hundred and seventy </w:t>
      </w:r>
      <w:r w:rsidR="00FE10BB" w:rsidRPr="003E2093">
        <w:rPr>
          <w:rFonts w:ascii="Times New Roman" w:hAnsi="Times New Roman" w:cs="Times New Roman"/>
          <w:color w:val="212529"/>
          <w:sz w:val="24"/>
          <w:szCs w:val="24"/>
          <w:shd w:val="clear" w:color="auto" w:fill="FAFAFA"/>
        </w:rPr>
        <w:t xml:space="preserve">dollars. </w:t>
      </w:r>
      <w:r w:rsidR="00E57B13" w:rsidRPr="003E2093">
        <w:rPr>
          <w:rFonts w:ascii="Times New Roman" w:hAnsi="Times New Roman" w:cs="Times New Roman"/>
          <w:color w:val="212529"/>
          <w:sz w:val="24"/>
          <w:szCs w:val="24"/>
          <w:shd w:val="clear" w:color="auto" w:fill="FAFAFA"/>
        </w:rPr>
        <w:t>Thirdly absent</w:t>
      </w:r>
      <w:r w:rsidR="00FE10BB" w:rsidRPr="003E2093">
        <w:rPr>
          <w:rFonts w:ascii="Times New Roman" w:hAnsi="Times New Roman" w:cs="Times New Roman"/>
          <w:color w:val="212529"/>
          <w:sz w:val="24"/>
          <w:szCs w:val="24"/>
          <w:shd w:val="clear" w:color="auto" w:fill="FAFAFA"/>
        </w:rPr>
        <w:t xml:space="preserve"> a defined repayment date, the sum certain is payable upon demand</w:t>
      </w:r>
      <w:r w:rsidR="00502B04" w:rsidRPr="003E2093">
        <w:rPr>
          <w:rFonts w:ascii="Times New Roman" w:hAnsi="Times New Roman" w:cs="Times New Roman"/>
          <w:color w:val="212529"/>
          <w:sz w:val="24"/>
          <w:szCs w:val="24"/>
          <w:shd w:val="clear" w:color="auto" w:fill="FAFAFA"/>
        </w:rPr>
        <w:t xml:space="preserve">, and lastly, the sum certain is payable to </w:t>
      </w:r>
      <w:r w:rsidR="003E2093" w:rsidRPr="003E2093">
        <w:rPr>
          <w:rFonts w:ascii="Times New Roman" w:hAnsi="Times New Roman" w:cs="Times New Roman"/>
          <w:color w:val="212529"/>
          <w:sz w:val="24"/>
          <w:szCs w:val="24"/>
          <w:shd w:val="clear" w:color="auto" w:fill="FAFAFA"/>
        </w:rPr>
        <w:t>Ms</w:t>
      </w:r>
      <w:r w:rsidR="00502B04" w:rsidRPr="003E2093">
        <w:rPr>
          <w:rFonts w:ascii="Times New Roman" w:hAnsi="Times New Roman" w:cs="Times New Roman"/>
          <w:color w:val="212529"/>
          <w:sz w:val="24"/>
          <w:szCs w:val="24"/>
          <w:shd w:val="clear" w:color="auto" w:fill="FAFAFA"/>
        </w:rPr>
        <w:t xml:space="preserve"> </w:t>
      </w:r>
      <w:r w:rsidR="004843F8" w:rsidRPr="003E2093">
        <w:rPr>
          <w:rFonts w:ascii="Times New Roman" w:hAnsi="Times New Roman" w:cs="Times New Roman"/>
          <w:color w:val="212529"/>
          <w:sz w:val="24"/>
          <w:szCs w:val="24"/>
          <w:shd w:val="clear" w:color="auto" w:fill="FAFAFA"/>
        </w:rPr>
        <w:t>Vinueza</w:t>
      </w:r>
      <w:r w:rsidR="00502B04" w:rsidRPr="003E2093">
        <w:rPr>
          <w:rFonts w:ascii="Times New Roman" w:hAnsi="Times New Roman" w:cs="Times New Roman"/>
          <w:color w:val="212529"/>
          <w:sz w:val="24"/>
          <w:szCs w:val="24"/>
          <w:shd w:val="clear" w:color="auto" w:fill="FAFAFA"/>
        </w:rPr>
        <w:t>, the bearer.</w:t>
      </w:r>
      <w:r w:rsidR="00994D73" w:rsidRPr="003E2093">
        <w:rPr>
          <w:rFonts w:ascii="Times New Roman" w:hAnsi="Times New Roman" w:cs="Times New Roman"/>
          <w:color w:val="212529"/>
          <w:sz w:val="24"/>
          <w:szCs w:val="24"/>
          <w:shd w:val="clear" w:color="auto" w:fill="FAFAFA"/>
        </w:rPr>
        <w:t xml:space="preserve"> </w:t>
      </w:r>
      <w:r w:rsidR="00D92A6A" w:rsidRPr="003E2093">
        <w:rPr>
          <w:rFonts w:ascii="Times New Roman" w:hAnsi="Times New Roman" w:cs="Times New Roman"/>
          <w:color w:val="212529"/>
          <w:sz w:val="24"/>
          <w:szCs w:val="24"/>
          <w:shd w:val="clear" w:color="auto" w:fill="FAFAFA"/>
        </w:rPr>
        <w:t xml:space="preserve">According to </w:t>
      </w:r>
      <w:r w:rsidR="00D92A6A" w:rsidRPr="003E2093">
        <w:rPr>
          <w:rFonts w:ascii="Times New Roman" w:hAnsi="Times New Roman" w:cs="Times New Roman"/>
          <w:color w:val="222222"/>
          <w:sz w:val="24"/>
          <w:szCs w:val="24"/>
          <w:shd w:val="clear" w:color="auto" w:fill="FFFFFF"/>
        </w:rPr>
        <w:t>Lemaire-Mayo</w:t>
      </w:r>
      <w:r w:rsidR="00D92A6A" w:rsidRPr="003E2093">
        <w:rPr>
          <w:rFonts w:ascii="Times New Roman" w:hAnsi="Times New Roman" w:cs="Times New Roman"/>
          <w:color w:val="212529"/>
          <w:sz w:val="24"/>
          <w:szCs w:val="24"/>
          <w:shd w:val="clear" w:color="auto" w:fill="FAFAFA"/>
        </w:rPr>
        <w:t xml:space="preserve"> et al.,. (2020) </w:t>
      </w:r>
      <w:r w:rsidR="00994D73" w:rsidRPr="003E2093">
        <w:rPr>
          <w:rFonts w:ascii="Times New Roman" w:hAnsi="Times New Roman" w:cs="Times New Roman"/>
          <w:color w:val="212529"/>
          <w:sz w:val="24"/>
          <w:szCs w:val="24"/>
          <w:shd w:val="clear" w:color="auto" w:fill="FAFAFA"/>
        </w:rPr>
        <w:t xml:space="preserve">the defendant does not deny the existence of the note. The court then rejects </w:t>
      </w:r>
      <w:r w:rsidR="00890F48" w:rsidRPr="003E2093">
        <w:rPr>
          <w:rFonts w:ascii="Times New Roman" w:hAnsi="Times New Roman" w:cs="Times New Roman"/>
          <w:color w:val="212529"/>
          <w:sz w:val="24"/>
          <w:szCs w:val="24"/>
          <w:shd w:val="clear" w:color="auto" w:fill="FAFAFA"/>
        </w:rPr>
        <w:t>his lightly</w:t>
      </w:r>
      <w:r w:rsidR="00994D73" w:rsidRPr="003E2093">
        <w:rPr>
          <w:rFonts w:ascii="Times New Roman" w:hAnsi="Times New Roman" w:cs="Times New Roman"/>
          <w:color w:val="212529"/>
          <w:sz w:val="24"/>
          <w:szCs w:val="24"/>
          <w:shd w:val="clear" w:color="auto" w:fill="FAFAFA"/>
        </w:rPr>
        <w:t xml:space="preserve"> supported claim that he was not aware that he was signing the note</w:t>
      </w:r>
      <w:r w:rsidR="00173AD3" w:rsidRPr="003E2093">
        <w:rPr>
          <w:rFonts w:ascii="Times New Roman" w:hAnsi="Times New Roman" w:cs="Times New Roman"/>
          <w:color w:val="212529"/>
          <w:sz w:val="24"/>
          <w:szCs w:val="24"/>
          <w:shd w:val="clear" w:color="auto" w:fill="FAFAFA"/>
        </w:rPr>
        <w:t>. At the trial, Vinueza presented two letters to the court. One was dated the 18</w:t>
      </w:r>
      <w:r w:rsidR="00173AD3" w:rsidRPr="003E2093">
        <w:rPr>
          <w:rFonts w:ascii="Times New Roman" w:hAnsi="Times New Roman" w:cs="Times New Roman"/>
          <w:color w:val="212529"/>
          <w:sz w:val="24"/>
          <w:szCs w:val="24"/>
          <w:shd w:val="clear" w:color="auto" w:fill="FAFAFA"/>
          <w:vertAlign w:val="superscript"/>
        </w:rPr>
        <w:t>th</w:t>
      </w:r>
      <w:r w:rsidR="00173AD3" w:rsidRPr="003E2093">
        <w:rPr>
          <w:rFonts w:ascii="Times New Roman" w:hAnsi="Times New Roman" w:cs="Times New Roman"/>
          <w:color w:val="212529"/>
          <w:sz w:val="24"/>
          <w:szCs w:val="24"/>
          <w:shd w:val="clear" w:color="auto" w:fill="FAFAFA"/>
        </w:rPr>
        <w:t xml:space="preserve"> of October 2010 </w:t>
      </w:r>
      <w:r w:rsidR="000B068F" w:rsidRPr="003E2093">
        <w:rPr>
          <w:rFonts w:ascii="Times New Roman" w:hAnsi="Times New Roman" w:cs="Times New Roman"/>
          <w:color w:val="212529"/>
          <w:sz w:val="24"/>
          <w:szCs w:val="24"/>
          <w:shd w:val="clear" w:color="auto" w:fill="FAFAFA"/>
        </w:rPr>
        <w:t>from Mr Scotto's treating physician</w:t>
      </w:r>
      <w:r w:rsidR="00C536E2" w:rsidRPr="003E2093">
        <w:rPr>
          <w:rFonts w:ascii="Times New Roman" w:hAnsi="Times New Roman" w:cs="Times New Roman"/>
          <w:color w:val="212529"/>
          <w:sz w:val="24"/>
          <w:szCs w:val="24"/>
          <w:shd w:val="clear" w:color="auto" w:fill="FAFAFA"/>
        </w:rPr>
        <w:t>. It stated</w:t>
      </w:r>
      <w:r w:rsidR="00173AD3" w:rsidRPr="003E2093">
        <w:rPr>
          <w:rFonts w:ascii="Times New Roman" w:hAnsi="Times New Roman" w:cs="Times New Roman"/>
          <w:color w:val="212529"/>
          <w:sz w:val="24"/>
          <w:szCs w:val="24"/>
          <w:shd w:val="clear" w:color="auto" w:fill="FAFAFA"/>
        </w:rPr>
        <w:t xml:space="preserve"> that </w:t>
      </w:r>
      <w:r w:rsidR="000B068F" w:rsidRPr="003E2093">
        <w:rPr>
          <w:rFonts w:ascii="Times New Roman" w:hAnsi="Times New Roman" w:cs="Times New Roman"/>
          <w:color w:val="212529"/>
          <w:sz w:val="24"/>
          <w:szCs w:val="24"/>
          <w:shd w:val="clear" w:color="auto" w:fill="FAFAFA"/>
        </w:rPr>
        <w:t>Mr Scotto has been under treatment for opiate dependency in his care since April 2010</w:t>
      </w:r>
      <w:r w:rsidR="00EC2C78" w:rsidRPr="003E2093">
        <w:rPr>
          <w:rFonts w:ascii="Times New Roman" w:hAnsi="Times New Roman" w:cs="Times New Roman"/>
          <w:color w:val="212529"/>
          <w:sz w:val="24"/>
          <w:szCs w:val="24"/>
          <w:shd w:val="clear" w:color="auto" w:fill="FAFAFA"/>
        </w:rPr>
        <w:t xml:space="preserve">. The second letter was from Mr Scotto's primary counsellor, who works at Chemical Dependency Inpatient Program at South Oaks Hospital. This letter indicated that Mr Scotto was admitted to the health facility on December 8, 2009, was discharged after completing the program on December 22, 2009. He was </w:t>
      </w:r>
      <w:r w:rsidR="004D0638" w:rsidRPr="003E2093">
        <w:rPr>
          <w:rFonts w:ascii="Times New Roman" w:hAnsi="Times New Roman" w:cs="Times New Roman"/>
          <w:color w:val="212529"/>
          <w:sz w:val="24"/>
          <w:szCs w:val="24"/>
          <w:shd w:val="clear" w:color="auto" w:fill="FAFAFA"/>
        </w:rPr>
        <w:t>referred</w:t>
      </w:r>
      <w:r w:rsidR="00EC2C78" w:rsidRPr="003E2093">
        <w:rPr>
          <w:rFonts w:ascii="Times New Roman" w:hAnsi="Times New Roman" w:cs="Times New Roman"/>
          <w:color w:val="212529"/>
          <w:sz w:val="24"/>
          <w:szCs w:val="24"/>
          <w:shd w:val="clear" w:color="auto" w:fill="FAFAFA"/>
        </w:rPr>
        <w:t xml:space="preserve"> to </w:t>
      </w:r>
      <w:r w:rsidR="004D0638" w:rsidRPr="003E2093">
        <w:rPr>
          <w:rFonts w:ascii="Times New Roman" w:hAnsi="Times New Roman" w:cs="Times New Roman"/>
          <w:color w:val="212529"/>
          <w:sz w:val="24"/>
          <w:szCs w:val="24"/>
          <w:shd w:val="clear" w:color="auto" w:fill="FAFAFA"/>
        </w:rPr>
        <w:t>outpatient</w:t>
      </w:r>
      <w:r w:rsidR="009F29ED" w:rsidRPr="003E2093">
        <w:rPr>
          <w:rFonts w:ascii="Times New Roman" w:hAnsi="Times New Roman" w:cs="Times New Roman"/>
          <w:color w:val="212529"/>
          <w:sz w:val="24"/>
          <w:szCs w:val="24"/>
          <w:shd w:val="clear" w:color="auto" w:fill="FAFAFA"/>
        </w:rPr>
        <w:t xml:space="preserve"> treatment</w:t>
      </w:r>
      <w:r w:rsidR="004D0638" w:rsidRPr="003E2093">
        <w:rPr>
          <w:rFonts w:ascii="Times New Roman" w:hAnsi="Times New Roman" w:cs="Times New Roman"/>
          <w:color w:val="212529"/>
          <w:sz w:val="24"/>
          <w:szCs w:val="24"/>
          <w:shd w:val="clear" w:color="auto" w:fill="FAFAFA"/>
        </w:rPr>
        <w:t xml:space="preserve">. </w:t>
      </w:r>
      <w:r w:rsidR="002D2826" w:rsidRPr="003E2093">
        <w:rPr>
          <w:rFonts w:ascii="Times New Roman" w:hAnsi="Times New Roman" w:cs="Times New Roman"/>
          <w:color w:val="222222"/>
          <w:sz w:val="24"/>
          <w:szCs w:val="24"/>
          <w:shd w:val="clear" w:color="auto" w:fill="FFFFFF"/>
        </w:rPr>
        <w:t>Lemaire-Mayo</w:t>
      </w:r>
      <w:r w:rsidR="001A7F10">
        <w:rPr>
          <w:rFonts w:ascii="Times New Roman" w:hAnsi="Times New Roman" w:cs="Times New Roman"/>
          <w:color w:val="212529"/>
          <w:sz w:val="24"/>
          <w:szCs w:val="24"/>
          <w:shd w:val="clear" w:color="auto" w:fill="FAFAFA"/>
        </w:rPr>
        <w:t xml:space="preserve"> et al.</w:t>
      </w:r>
      <w:r w:rsidR="002D2826" w:rsidRPr="003E2093">
        <w:rPr>
          <w:rFonts w:ascii="Times New Roman" w:hAnsi="Times New Roman" w:cs="Times New Roman"/>
          <w:color w:val="212529"/>
          <w:sz w:val="24"/>
          <w:szCs w:val="24"/>
          <w:shd w:val="clear" w:color="auto" w:fill="FAFAFA"/>
        </w:rPr>
        <w:t xml:space="preserve"> (2020) state that this</w:t>
      </w:r>
      <w:r w:rsidR="00152230" w:rsidRPr="003E2093">
        <w:rPr>
          <w:rFonts w:ascii="Times New Roman" w:hAnsi="Times New Roman" w:cs="Times New Roman"/>
          <w:color w:val="212529"/>
          <w:sz w:val="24"/>
          <w:szCs w:val="24"/>
          <w:shd w:val="clear" w:color="auto" w:fill="FAFAFA"/>
        </w:rPr>
        <w:t xml:space="preserve"> was two and a half months after the execution of the note.</w:t>
      </w:r>
      <w:r w:rsidR="000B068F" w:rsidRPr="003E2093">
        <w:rPr>
          <w:rFonts w:ascii="Times New Roman" w:hAnsi="Times New Roman" w:cs="Times New Roman"/>
          <w:color w:val="212529"/>
          <w:sz w:val="24"/>
          <w:szCs w:val="24"/>
          <w:shd w:val="clear" w:color="auto" w:fill="FAFAFA"/>
        </w:rPr>
        <w:t xml:space="preserve"> </w:t>
      </w:r>
      <w:r w:rsidR="00FC3D02" w:rsidRPr="003E2093">
        <w:rPr>
          <w:rFonts w:ascii="Times New Roman" w:hAnsi="Times New Roman" w:cs="Times New Roman"/>
          <w:color w:val="212529"/>
          <w:sz w:val="24"/>
          <w:szCs w:val="24"/>
          <w:shd w:val="clear" w:color="auto" w:fill="FAFAFA"/>
        </w:rPr>
        <w:t>According to Sun et al</w:t>
      </w:r>
      <w:r w:rsidR="001A7F10">
        <w:rPr>
          <w:rFonts w:ascii="Times New Roman" w:hAnsi="Times New Roman" w:cs="Times New Roman"/>
          <w:color w:val="212529"/>
          <w:sz w:val="24"/>
          <w:szCs w:val="24"/>
          <w:shd w:val="clear" w:color="auto" w:fill="FAFAFA"/>
        </w:rPr>
        <w:t>.</w:t>
      </w:r>
      <w:r w:rsidR="00FC3D02" w:rsidRPr="003E2093">
        <w:rPr>
          <w:rFonts w:ascii="Times New Roman" w:hAnsi="Times New Roman" w:cs="Times New Roman"/>
          <w:color w:val="212529"/>
          <w:sz w:val="24"/>
          <w:szCs w:val="24"/>
          <w:shd w:val="clear" w:color="auto" w:fill="FAFAFA"/>
        </w:rPr>
        <w:t xml:space="preserve"> (2014),</w:t>
      </w:r>
      <w:r w:rsidR="000B068F" w:rsidRPr="003E2093">
        <w:rPr>
          <w:rFonts w:ascii="Times New Roman" w:hAnsi="Times New Roman" w:cs="Times New Roman"/>
          <w:color w:val="212529"/>
          <w:sz w:val="24"/>
          <w:szCs w:val="24"/>
          <w:shd w:val="clear" w:color="auto" w:fill="FAFAFA"/>
        </w:rPr>
        <w:t xml:space="preserve"> </w:t>
      </w:r>
      <w:r w:rsidR="00CB4717" w:rsidRPr="003E2093">
        <w:rPr>
          <w:rFonts w:ascii="Times New Roman" w:hAnsi="Times New Roman" w:cs="Times New Roman"/>
          <w:color w:val="212529"/>
          <w:sz w:val="24"/>
          <w:szCs w:val="24"/>
          <w:shd w:val="clear" w:color="auto" w:fill="FAFAFA"/>
        </w:rPr>
        <w:t>absent</w:t>
      </w:r>
      <w:r w:rsidR="00FC3D02" w:rsidRPr="003E2093">
        <w:rPr>
          <w:rFonts w:ascii="Times New Roman" w:hAnsi="Times New Roman" w:cs="Times New Roman"/>
          <w:color w:val="212529"/>
          <w:sz w:val="24"/>
          <w:szCs w:val="24"/>
          <w:shd w:val="clear" w:color="auto" w:fill="FAFAFA"/>
        </w:rPr>
        <w:t xml:space="preserve"> these documents. Still, for Mr Scotto's testimony of being under the infl</w:t>
      </w:r>
      <w:r w:rsidR="0051203E" w:rsidRPr="003E2093">
        <w:rPr>
          <w:rFonts w:ascii="Times New Roman" w:hAnsi="Times New Roman" w:cs="Times New Roman"/>
          <w:color w:val="212529"/>
          <w:sz w:val="24"/>
          <w:szCs w:val="24"/>
          <w:shd w:val="clear" w:color="auto" w:fill="FAFAFA"/>
        </w:rPr>
        <w:t>uence of drugs when the n</w:t>
      </w:r>
      <w:r w:rsidR="00FC3D02" w:rsidRPr="003E2093">
        <w:rPr>
          <w:rFonts w:ascii="Times New Roman" w:hAnsi="Times New Roman" w:cs="Times New Roman"/>
          <w:color w:val="212529"/>
          <w:sz w:val="24"/>
          <w:szCs w:val="24"/>
          <w:shd w:val="clear" w:color="auto" w:fill="FAFAFA"/>
        </w:rPr>
        <w:t>ote was executed, no additional evidence supporting his defence was proffered</w:t>
      </w:r>
      <w:r w:rsidR="00AE572A" w:rsidRPr="003E2093">
        <w:rPr>
          <w:rFonts w:ascii="Times New Roman" w:hAnsi="Times New Roman" w:cs="Times New Roman"/>
          <w:color w:val="212529"/>
          <w:sz w:val="24"/>
          <w:szCs w:val="24"/>
          <w:shd w:val="clear" w:color="auto" w:fill="FAFAFA"/>
        </w:rPr>
        <w:t>.</w:t>
      </w:r>
      <w:r w:rsidR="008968BD" w:rsidRPr="003E2093">
        <w:rPr>
          <w:rFonts w:ascii="Times New Roman" w:hAnsi="Times New Roman" w:cs="Times New Roman"/>
          <w:color w:val="212529"/>
          <w:sz w:val="24"/>
          <w:szCs w:val="24"/>
          <w:shd w:val="clear" w:color="auto" w:fill="FAFAFA"/>
        </w:rPr>
        <w:t xml:space="preserve"> To add to this, the defendant could not suggest any evidence </w:t>
      </w:r>
      <w:r w:rsidR="0042139A" w:rsidRPr="003E2093">
        <w:rPr>
          <w:rFonts w:ascii="Times New Roman" w:hAnsi="Times New Roman" w:cs="Times New Roman"/>
          <w:color w:val="212529"/>
          <w:sz w:val="24"/>
          <w:szCs w:val="24"/>
          <w:shd w:val="clear" w:color="auto" w:fill="FAFAFA"/>
        </w:rPr>
        <w:t>showing</w:t>
      </w:r>
      <w:r w:rsidR="008968BD" w:rsidRPr="003E2093">
        <w:rPr>
          <w:rFonts w:ascii="Times New Roman" w:hAnsi="Times New Roman" w:cs="Times New Roman"/>
          <w:color w:val="212529"/>
          <w:sz w:val="24"/>
          <w:szCs w:val="24"/>
          <w:shd w:val="clear" w:color="auto" w:fill="FAFAFA"/>
        </w:rPr>
        <w:t xml:space="preserve"> that the amount was fully </w:t>
      </w:r>
      <w:r w:rsidR="008278CD" w:rsidRPr="003E2093">
        <w:rPr>
          <w:rFonts w:ascii="Times New Roman" w:hAnsi="Times New Roman" w:cs="Times New Roman"/>
          <w:color w:val="212529"/>
          <w:sz w:val="24"/>
          <w:szCs w:val="24"/>
          <w:shd w:val="clear" w:color="auto" w:fill="FAFAFA"/>
        </w:rPr>
        <w:t xml:space="preserve">paid. Meaning, it is true that the defendant had health challenges according to the above evidence, but that cannot be enough to vindicate him as the note was </w:t>
      </w:r>
      <w:r w:rsidR="00577F1E" w:rsidRPr="003E2093">
        <w:rPr>
          <w:rFonts w:ascii="Times New Roman" w:hAnsi="Times New Roman" w:cs="Times New Roman"/>
          <w:color w:val="212529"/>
          <w:sz w:val="24"/>
          <w:szCs w:val="24"/>
          <w:shd w:val="clear" w:color="auto" w:fill="FAFAFA"/>
        </w:rPr>
        <w:t>executed</w:t>
      </w:r>
      <w:r w:rsidR="008278CD" w:rsidRPr="003E2093">
        <w:rPr>
          <w:rFonts w:ascii="Times New Roman" w:hAnsi="Times New Roman" w:cs="Times New Roman"/>
          <w:color w:val="212529"/>
          <w:sz w:val="24"/>
          <w:szCs w:val="24"/>
          <w:shd w:val="clear" w:color="auto" w:fill="FAFAFA"/>
        </w:rPr>
        <w:t xml:space="preserve"> tw</w:t>
      </w:r>
      <w:r w:rsidR="00577F1E" w:rsidRPr="003E2093">
        <w:rPr>
          <w:rFonts w:ascii="Times New Roman" w:hAnsi="Times New Roman" w:cs="Times New Roman"/>
          <w:color w:val="212529"/>
          <w:sz w:val="24"/>
          <w:szCs w:val="24"/>
          <w:shd w:val="clear" w:color="auto" w:fill="FAFAFA"/>
        </w:rPr>
        <w:t xml:space="preserve">o and a half months before </w:t>
      </w:r>
      <w:r w:rsidR="00A92414" w:rsidRPr="003E2093">
        <w:rPr>
          <w:rFonts w:ascii="Times New Roman" w:hAnsi="Times New Roman" w:cs="Times New Roman"/>
          <w:color w:val="212529"/>
          <w:sz w:val="24"/>
          <w:szCs w:val="24"/>
          <w:shd w:val="clear" w:color="auto" w:fill="FAFAFA"/>
        </w:rPr>
        <w:t>his hospitalization</w:t>
      </w:r>
      <w:r>
        <w:rPr>
          <w:rFonts w:ascii="Times New Roman" w:hAnsi="Times New Roman" w:cs="Times New Roman"/>
          <w:color w:val="212529"/>
          <w:sz w:val="24"/>
          <w:szCs w:val="24"/>
          <w:shd w:val="clear" w:color="auto" w:fill="FAFAFA"/>
        </w:rPr>
        <w:t>.</w:t>
      </w:r>
    </w:p>
    <w:p w:rsidR="00B122C3" w:rsidRDefault="0038743F" w:rsidP="00B122C3">
      <w:pPr>
        <w:spacing w:line="480" w:lineRule="auto"/>
        <w:ind w:firstLine="720"/>
        <w:rPr>
          <w:rFonts w:ascii="Times New Roman" w:hAnsi="Times New Roman" w:cs="Times New Roman"/>
          <w:sz w:val="24"/>
          <w:szCs w:val="24"/>
        </w:rPr>
      </w:pPr>
      <w:r w:rsidRPr="003E2093">
        <w:rPr>
          <w:rFonts w:ascii="Times New Roman" w:hAnsi="Times New Roman" w:cs="Times New Roman"/>
          <w:color w:val="212529"/>
          <w:sz w:val="24"/>
          <w:szCs w:val="24"/>
          <w:shd w:val="clear" w:color="auto" w:fill="FAFAFA"/>
        </w:rPr>
        <w:t xml:space="preserve">The law in New York states that someone must have carefully read and </w:t>
      </w:r>
      <w:r w:rsidR="00A5267F" w:rsidRPr="003E2093">
        <w:rPr>
          <w:rFonts w:ascii="Times New Roman" w:hAnsi="Times New Roman" w:cs="Times New Roman"/>
          <w:color w:val="212529"/>
          <w:sz w:val="24"/>
          <w:szCs w:val="24"/>
          <w:shd w:val="clear" w:color="auto" w:fill="FAFAFA"/>
        </w:rPr>
        <w:t>understood</w:t>
      </w:r>
      <w:r w:rsidRPr="003E2093">
        <w:rPr>
          <w:rFonts w:ascii="Times New Roman" w:hAnsi="Times New Roman" w:cs="Times New Roman"/>
          <w:color w:val="212529"/>
          <w:sz w:val="24"/>
          <w:szCs w:val="24"/>
          <w:shd w:val="clear" w:color="auto" w:fill="FAFAFA"/>
        </w:rPr>
        <w:t xml:space="preserve"> a document before signing it. In this case, both the plaintiff and the defendant signed on the note. It </w:t>
      </w:r>
      <w:r w:rsidRPr="003E2093">
        <w:rPr>
          <w:rFonts w:ascii="Times New Roman" w:hAnsi="Times New Roman" w:cs="Times New Roman"/>
          <w:color w:val="212529"/>
          <w:sz w:val="24"/>
          <w:szCs w:val="24"/>
          <w:shd w:val="clear" w:color="auto" w:fill="FAFAFA"/>
        </w:rPr>
        <w:lastRenderedPageBreak/>
        <w:t xml:space="preserve">is stated in the </w:t>
      </w:r>
      <w:r w:rsidR="0036590C" w:rsidRPr="003E2093">
        <w:rPr>
          <w:rFonts w:ascii="Times New Roman" w:hAnsi="Times New Roman" w:cs="Times New Roman"/>
          <w:color w:val="212529"/>
          <w:sz w:val="24"/>
          <w:szCs w:val="24"/>
          <w:shd w:val="clear" w:color="auto" w:fill="FAFAFA"/>
        </w:rPr>
        <w:t>same law</w:t>
      </w:r>
      <w:r w:rsidRPr="003E2093">
        <w:rPr>
          <w:rFonts w:ascii="Times New Roman" w:hAnsi="Times New Roman" w:cs="Times New Roman"/>
          <w:color w:val="212529"/>
          <w:sz w:val="24"/>
          <w:szCs w:val="24"/>
          <w:shd w:val="clear" w:color="auto" w:fill="FAFAFA"/>
        </w:rPr>
        <w:t xml:space="preserve"> that </w:t>
      </w:r>
      <w:r w:rsidR="007A012F" w:rsidRPr="003E2093">
        <w:rPr>
          <w:rFonts w:ascii="Times New Roman" w:hAnsi="Times New Roman" w:cs="Times New Roman"/>
          <w:color w:val="212529"/>
          <w:sz w:val="24"/>
          <w:szCs w:val="24"/>
          <w:shd w:val="clear" w:color="auto" w:fill="FAFAFA"/>
        </w:rPr>
        <w:t xml:space="preserve">not reading this kind of document before signing it is </w:t>
      </w:r>
      <w:r w:rsidR="000553A5" w:rsidRPr="003E2093">
        <w:rPr>
          <w:rFonts w:ascii="Times New Roman" w:hAnsi="Times New Roman" w:cs="Times New Roman"/>
          <w:color w:val="212529"/>
          <w:sz w:val="24"/>
          <w:szCs w:val="24"/>
          <w:shd w:val="clear" w:color="auto" w:fill="FAFAFA"/>
        </w:rPr>
        <w:t xml:space="preserve">gross </w:t>
      </w:r>
      <w:r w:rsidR="00782696" w:rsidRPr="003E2093">
        <w:rPr>
          <w:rFonts w:ascii="Times New Roman" w:hAnsi="Times New Roman" w:cs="Times New Roman"/>
          <w:color w:val="212529"/>
          <w:sz w:val="24"/>
          <w:szCs w:val="24"/>
          <w:shd w:val="clear" w:color="auto" w:fill="FAFAFA"/>
        </w:rPr>
        <w:t>negligence</w:t>
      </w:r>
      <w:r w:rsidR="000553A5" w:rsidRPr="003E2093">
        <w:rPr>
          <w:rFonts w:ascii="Times New Roman" w:hAnsi="Times New Roman" w:cs="Times New Roman"/>
          <w:color w:val="212529"/>
          <w:sz w:val="24"/>
          <w:szCs w:val="24"/>
          <w:shd w:val="clear" w:color="auto" w:fill="FAFAFA"/>
        </w:rPr>
        <w:t>.</w:t>
      </w:r>
      <w:r w:rsidR="001A1197" w:rsidRPr="003E2093">
        <w:rPr>
          <w:rFonts w:ascii="Times New Roman" w:hAnsi="Times New Roman" w:cs="Times New Roman"/>
          <w:color w:val="212529"/>
          <w:sz w:val="24"/>
          <w:szCs w:val="24"/>
          <w:shd w:val="clear" w:color="auto" w:fill="FAFAFA"/>
        </w:rPr>
        <w:t xml:space="preserve"> The defendant is presumed that he had read and understood the form before he signed it.</w:t>
      </w:r>
      <w:r w:rsidR="00FC6496" w:rsidRPr="003E2093">
        <w:rPr>
          <w:rFonts w:ascii="Times New Roman" w:hAnsi="Times New Roman" w:cs="Times New Roman"/>
          <w:color w:val="212529"/>
          <w:sz w:val="24"/>
          <w:szCs w:val="24"/>
          <w:shd w:val="clear" w:color="auto" w:fill="FAFAFA"/>
        </w:rPr>
        <w:t xml:space="preserve"> </w:t>
      </w:r>
      <w:r w:rsidR="00FE20F9" w:rsidRPr="003E2093">
        <w:rPr>
          <w:rFonts w:ascii="Times New Roman" w:hAnsi="Times New Roman" w:cs="Times New Roman"/>
          <w:color w:val="212529"/>
          <w:sz w:val="24"/>
          <w:szCs w:val="24"/>
          <w:shd w:val="clear" w:color="auto" w:fill="FAFAFA"/>
        </w:rPr>
        <w:t xml:space="preserve">According </w:t>
      </w:r>
      <w:r w:rsidR="001A7F10">
        <w:rPr>
          <w:rFonts w:ascii="Times New Roman" w:hAnsi="Times New Roman" w:cs="Times New Roman"/>
          <w:color w:val="212529"/>
          <w:sz w:val="24"/>
          <w:szCs w:val="24"/>
          <w:shd w:val="clear" w:color="auto" w:fill="FAFAFA"/>
        </w:rPr>
        <w:t>to Sun et al.</w:t>
      </w:r>
      <w:r w:rsidR="00A115A3" w:rsidRPr="003E2093">
        <w:rPr>
          <w:rFonts w:ascii="Times New Roman" w:hAnsi="Times New Roman" w:cs="Times New Roman"/>
          <w:color w:val="212529"/>
          <w:sz w:val="24"/>
          <w:szCs w:val="24"/>
          <w:shd w:val="clear" w:color="auto" w:fill="FAFAFA"/>
        </w:rPr>
        <w:t xml:space="preserve"> </w:t>
      </w:r>
      <w:r w:rsidR="00FE20F9" w:rsidRPr="003E2093">
        <w:rPr>
          <w:rFonts w:ascii="Times New Roman" w:hAnsi="Times New Roman" w:cs="Times New Roman"/>
          <w:color w:val="212529"/>
          <w:sz w:val="24"/>
          <w:szCs w:val="24"/>
          <w:shd w:val="clear" w:color="auto" w:fill="FAFAFA"/>
        </w:rPr>
        <w:t>(2014)</w:t>
      </w:r>
      <w:r w:rsidR="001A7F10">
        <w:rPr>
          <w:rFonts w:ascii="Times New Roman" w:hAnsi="Times New Roman" w:cs="Times New Roman"/>
          <w:color w:val="212529"/>
          <w:sz w:val="24"/>
          <w:szCs w:val="24"/>
          <w:shd w:val="clear" w:color="auto" w:fill="FAFAFA"/>
        </w:rPr>
        <w:t>,</w:t>
      </w:r>
      <w:r w:rsidR="00FE20F9" w:rsidRPr="003E2093">
        <w:rPr>
          <w:rFonts w:ascii="Times New Roman" w:hAnsi="Times New Roman" w:cs="Times New Roman"/>
          <w:color w:val="212529"/>
          <w:sz w:val="24"/>
          <w:szCs w:val="24"/>
          <w:shd w:val="clear" w:color="auto" w:fill="FAFAFA"/>
        </w:rPr>
        <w:t xml:space="preserve"> h</w:t>
      </w:r>
      <w:r w:rsidR="00FC6496" w:rsidRPr="003E2093">
        <w:rPr>
          <w:rFonts w:ascii="Times New Roman" w:hAnsi="Times New Roman" w:cs="Times New Roman"/>
          <w:color w:val="212529"/>
          <w:sz w:val="24"/>
          <w:szCs w:val="24"/>
          <w:shd w:val="clear" w:color="auto" w:fill="FAFAFA"/>
        </w:rPr>
        <w:t xml:space="preserve">e, therefore, </w:t>
      </w:r>
      <w:r w:rsidR="00782696" w:rsidRPr="003E2093">
        <w:rPr>
          <w:rFonts w:ascii="Times New Roman" w:hAnsi="Times New Roman" w:cs="Times New Roman"/>
          <w:color w:val="212529"/>
          <w:sz w:val="24"/>
          <w:szCs w:val="24"/>
          <w:shd w:val="clear" w:color="auto" w:fill="FAFAFA"/>
        </w:rPr>
        <w:t>cannot</w:t>
      </w:r>
      <w:r w:rsidR="00FC6496" w:rsidRPr="003E2093">
        <w:rPr>
          <w:rFonts w:ascii="Times New Roman" w:hAnsi="Times New Roman" w:cs="Times New Roman"/>
          <w:color w:val="212529"/>
          <w:sz w:val="24"/>
          <w:szCs w:val="24"/>
          <w:shd w:val="clear" w:color="auto" w:fill="FAFAFA"/>
        </w:rPr>
        <w:t xml:space="preserve"> avoid</w:t>
      </w:r>
      <w:r w:rsidR="00D80031" w:rsidRPr="003E2093">
        <w:rPr>
          <w:rFonts w:ascii="Times New Roman" w:hAnsi="Times New Roman" w:cs="Times New Roman"/>
          <w:color w:val="212529"/>
          <w:sz w:val="24"/>
          <w:szCs w:val="24"/>
          <w:shd w:val="clear" w:color="auto" w:fill="FAFAFA"/>
        </w:rPr>
        <w:t xml:space="preserve"> </w:t>
      </w:r>
      <w:r w:rsidR="00782696" w:rsidRPr="003E2093">
        <w:rPr>
          <w:rFonts w:ascii="Times New Roman" w:hAnsi="Times New Roman" w:cs="Times New Roman"/>
          <w:color w:val="212529"/>
          <w:sz w:val="24"/>
          <w:szCs w:val="24"/>
          <w:shd w:val="clear" w:color="auto" w:fill="FAFAFA"/>
        </w:rPr>
        <w:t>liability</w:t>
      </w:r>
      <w:r w:rsidR="00D80031" w:rsidRPr="003E2093">
        <w:rPr>
          <w:rFonts w:ascii="Times New Roman" w:hAnsi="Times New Roman" w:cs="Times New Roman"/>
          <w:color w:val="212529"/>
          <w:sz w:val="24"/>
          <w:szCs w:val="24"/>
          <w:shd w:val="clear" w:color="auto" w:fill="FAFAFA"/>
        </w:rPr>
        <w:t xml:space="preserve"> by claiming he </w:t>
      </w:r>
      <w:r w:rsidR="00782696" w:rsidRPr="003E2093">
        <w:rPr>
          <w:rFonts w:ascii="Times New Roman" w:hAnsi="Times New Roman" w:cs="Times New Roman"/>
          <w:color w:val="212529"/>
          <w:sz w:val="24"/>
          <w:szCs w:val="24"/>
          <w:shd w:val="clear" w:color="auto" w:fill="FAFAFA"/>
        </w:rPr>
        <w:t>failed to read</w:t>
      </w:r>
      <w:r w:rsidR="00FC6496" w:rsidRPr="003E2093">
        <w:rPr>
          <w:rFonts w:ascii="Times New Roman" w:hAnsi="Times New Roman" w:cs="Times New Roman"/>
          <w:color w:val="212529"/>
          <w:sz w:val="24"/>
          <w:szCs w:val="24"/>
          <w:shd w:val="clear" w:color="auto" w:fill="FAFAFA"/>
        </w:rPr>
        <w:t xml:space="preserve"> it</w:t>
      </w:r>
      <w:r w:rsidR="00D80031" w:rsidRPr="003E2093">
        <w:rPr>
          <w:rFonts w:ascii="Times New Roman" w:hAnsi="Times New Roman" w:cs="Times New Roman"/>
          <w:color w:val="212529"/>
          <w:sz w:val="24"/>
          <w:szCs w:val="24"/>
          <w:shd w:val="clear" w:color="auto" w:fill="FAFAFA"/>
        </w:rPr>
        <w:t xml:space="preserve"> and understand the </w:t>
      </w:r>
      <w:r w:rsidR="00782696" w:rsidRPr="003E2093">
        <w:rPr>
          <w:rFonts w:ascii="Times New Roman" w:hAnsi="Times New Roman" w:cs="Times New Roman"/>
          <w:color w:val="212529"/>
          <w:sz w:val="24"/>
          <w:szCs w:val="24"/>
          <w:shd w:val="clear" w:color="auto" w:fill="FAFAFA"/>
        </w:rPr>
        <w:t>obligation</w:t>
      </w:r>
      <w:r w:rsidR="000B1EDF" w:rsidRPr="003E2093">
        <w:rPr>
          <w:rFonts w:ascii="Times New Roman" w:hAnsi="Times New Roman" w:cs="Times New Roman"/>
          <w:color w:val="212529"/>
          <w:sz w:val="24"/>
          <w:szCs w:val="24"/>
          <w:shd w:val="clear" w:color="auto" w:fill="FAFAFA"/>
        </w:rPr>
        <w:t xml:space="preserve"> imparted by the note</w:t>
      </w:r>
      <w:r w:rsidR="00782696" w:rsidRPr="003E2093">
        <w:rPr>
          <w:rFonts w:ascii="Times New Roman" w:hAnsi="Times New Roman" w:cs="Times New Roman"/>
          <w:color w:val="212529"/>
          <w:sz w:val="24"/>
          <w:szCs w:val="24"/>
          <w:shd w:val="clear" w:color="auto" w:fill="FAFAFA"/>
        </w:rPr>
        <w:t>.</w:t>
      </w:r>
    </w:p>
    <w:p w:rsidR="001A7F10" w:rsidRDefault="0038743F" w:rsidP="001A7F10">
      <w:pPr>
        <w:spacing w:line="480" w:lineRule="auto"/>
        <w:ind w:firstLine="720"/>
        <w:rPr>
          <w:rFonts w:ascii="Times New Roman" w:hAnsi="Times New Roman" w:cs="Times New Roman"/>
          <w:sz w:val="24"/>
          <w:szCs w:val="24"/>
        </w:rPr>
      </w:pPr>
      <w:r w:rsidRPr="003E2093">
        <w:rPr>
          <w:rFonts w:ascii="Times New Roman" w:hAnsi="Times New Roman" w:cs="Times New Roman"/>
          <w:color w:val="212529"/>
          <w:sz w:val="24"/>
          <w:szCs w:val="24"/>
          <w:shd w:val="clear" w:color="auto" w:fill="FAFAFA"/>
        </w:rPr>
        <w:t xml:space="preserve">It is </w:t>
      </w:r>
      <w:r w:rsidR="00F37B68" w:rsidRPr="003E2093">
        <w:rPr>
          <w:rFonts w:ascii="Times New Roman" w:hAnsi="Times New Roman" w:cs="Times New Roman"/>
          <w:color w:val="212529"/>
          <w:sz w:val="24"/>
          <w:szCs w:val="24"/>
          <w:shd w:val="clear" w:color="auto" w:fill="FAFAFA"/>
        </w:rPr>
        <w:t>self-evident</w:t>
      </w:r>
      <w:r w:rsidR="005F5557" w:rsidRPr="003E2093">
        <w:rPr>
          <w:rFonts w:ascii="Times New Roman" w:hAnsi="Times New Roman" w:cs="Times New Roman"/>
          <w:color w:val="212529"/>
          <w:sz w:val="24"/>
          <w:szCs w:val="24"/>
          <w:shd w:val="clear" w:color="auto" w:fill="FAFAFA"/>
        </w:rPr>
        <w:t xml:space="preserve"> in a civil action</w:t>
      </w:r>
      <w:r w:rsidRPr="003E2093">
        <w:rPr>
          <w:rFonts w:ascii="Times New Roman" w:hAnsi="Times New Roman" w:cs="Times New Roman"/>
          <w:color w:val="212529"/>
          <w:sz w:val="24"/>
          <w:szCs w:val="24"/>
          <w:shd w:val="clear" w:color="auto" w:fill="FAFAFA"/>
        </w:rPr>
        <w:t xml:space="preserve"> that </w:t>
      </w:r>
      <w:r w:rsidR="00F32DAE" w:rsidRPr="003E2093">
        <w:rPr>
          <w:rFonts w:ascii="Times New Roman" w:hAnsi="Times New Roman" w:cs="Times New Roman"/>
          <w:color w:val="212529"/>
          <w:sz w:val="24"/>
          <w:szCs w:val="24"/>
          <w:shd w:val="clear" w:color="auto" w:fill="FAFAFA"/>
        </w:rPr>
        <w:t xml:space="preserve">the accuser has the burden to prove her case by the </w:t>
      </w:r>
      <w:r w:rsidR="005823B3" w:rsidRPr="003E2093">
        <w:rPr>
          <w:rFonts w:ascii="Times New Roman" w:hAnsi="Times New Roman" w:cs="Times New Roman"/>
          <w:color w:val="212529"/>
          <w:sz w:val="24"/>
          <w:szCs w:val="24"/>
          <w:shd w:val="clear" w:color="auto" w:fill="FAFAFA"/>
        </w:rPr>
        <w:t>predominance</w:t>
      </w:r>
      <w:r w:rsidR="00F32DAE" w:rsidRPr="003E2093">
        <w:rPr>
          <w:rFonts w:ascii="Times New Roman" w:hAnsi="Times New Roman" w:cs="Times New Roman"/>
          <w:color w:val="212529"/>
          <w:sz w:val="24"/>
          <w:szCs w:val="24"/>
          <w:shd w:val="clear" w:color="auto" w:fill="FAFAFA"/>
        </w:rPr>
        <w:t xml:space="preserve"> </w:t>
      </w:r>
      <w:r w:rsidR="00606869" w:rsidRPr="003E2093">
        <w:rPr>
          <w:rFonts w:ascii="Times New Roman" w:hAnsi="Times New Roman" w:cs="Times New Roman"/>
          <w:color w:val="212529"/>
          <w:sz w:val="24"/>
          <w:szCs w:val="24"/>
          <w:shd w:val="clear" w:color="auto" w:fill="FAFAFA"/>
        </w:rPr>
        <w:t xml:space="preserve">of </w:t>
      </w:r>
      <w:r w:rsidR="00F32DAE" w:rsidRPr="003E2093">
        <w:rPr>
          <w:rFonts w:ascii="Times New Roman" w:hAnsi="Times New Roman" w:cs="Times New Roman"/>
          <w:color w:val="212529"/>
          <w:sz w:val="24"/>
          <w:szCs w:val="24"/>
          <w:shd w:val="clear" w:color="auto" w:fill="FAFAFA"/>
        </w:rPr>
        <w:t>credible evidence</w:t>
      </w:r>
      <w:r w:rsidR="00B842BA" w:rsidRPr="003E2093">
        <w:rPr>
          <w:rFonts w:ascii="Times New Roman" w:hAnsi="Times New Roman" w:cs="Times New Roman"/>
          <w:color w:val="212529"/>
          <w:sz w:val="24"/>
          <w:szCs w:val="24"/>
          <w:shd w:val="clear" w:color="auto" w:fill="FAFAFA"/>
        </w:rPr>
        <w:t>.</w:t>
      </w:r>
      <w:r w:rsidR="00606869" w:rsidRPr="003E2093">
        <w:rPr>
          <w:rFonts w:ascii="Times New Roman" w:hAnsi="Times New Roman" w:cs="Times New Roman"/>
          <w:color w:val="212529"/>
          <w:sz w:val="24"/>
          <w:szCs w:val="24"/>
          <w:shd w:val="clear" w:color="auto" w:fill="FAFAFA"/>
        </w:rPr>
        <w:t xml:space="preserve"> After the hearing, the court</w:t>
      </w:r>
      <w:r w:rsidR="007D04EA" w:rsidRPr="003E2093">
        <w:rPr>
          <w:rFonts w:ascii="Times New Roman" w:hAnsi="Times New Roman" w:cs="Times New Roman"/>
          <w:color w:val="212529"/>
          <w:sz w:val="24"/>
          <w:szCs w:val="24"/>
          <w:shd w:val="clear" w:color="auto" w:fill="FAFAFA"/>
        </w:rPr>
        <w:t xml:space="preserve"> was able </w:t>
      </w:r>
      <w:r w:rsidR="000E7553" w:rsidRPr="003E2093">
        <w:rPr>
          <w:rFonts w:ascii="Times New Roman" w:hAnsi="Times New Roman" w:cs="Times New Roman"/>
          <w:color w:val="212529"/>
          <w:sz w:val="24"/>
          <w:szCs w:val="24"/>
          <w:shd w:val="clear" w:color="auto" w:fill="FAFAFA"/>
        </w:rPr>
        <w:t>to review the</w:t>
      </w:r>
      <w:r w:rsidR="00A40BF7" w:rsidRPr="003E2093">
        <w:rPr>
          <w:rFonts w:ascii="Times New Roman" w:hAnsi="Times New Roman" w:cs="Times New Roman"/>
          <w:color w:val="212529"/>
          <w:sz w:val="24"/>
          <w:szCs w:val="24"/>
          <w:shd w:val="clear" w:color="auto" w:fill="FAFAFA"/>
        </w:rPr>
        <w:t xml:space="preserve"> court transcript and documentary evidence </w:t>
      </w:r>
      <w:r w:rsidR="000E7553" w:rsidRPr="003E2093">
        <w:rPr>
          <w:rFonts w:ascii="Times New Roman" w:hAnsi="Times New Roman" w:cs="Times New Roman"/>
          <w:color w:val="212529"/>
          <w:sz w:val="24"/>
          <w:szCs w:val="24"/>
          <w:shd w:val="clear" w:color="auto" w:fill="FAFAFA"/>
        </w:rPr>
        <w:t>presented. It c</w:t>
      </w:r>
      <w:r w:rsidR="007D04EA" w:rsidRPr="003E2093">
        <w:rPr>
          <w:rFonts w:ascii="Times New Roman" w:hAnsi="Times New Roman" w:cs="Times New Roman"/>
          <w:color w:val="212529"/>
          <w:sz w:val="24"/>
          <w:szCs w:val="24"/>
          <w:shd w:val="clear" w:color="auto" w:fill="FAFAFA"/>
        </w:rPr>
        <w:t>oncluded that</w:t>
      </w:r>
      <w:r w:rsidR="000E7553" w:rsidRPr="003E2093">
        <w:rPr>
          <w:rFonts w:ascii="Times New Roman" w:hAnsi="Times New Roman" w:cs="Times New Roman"/>
          <w:color w:val="212529"/>
          <w:sz w:val="24"/>
          <w:szCs w:val="24"/>
          <w:shd w:val="clear" w:color="auto" w:fill="FAFAFA"/>
        </w:rPr>
        <w:t xml:space="preserve"> the accuser was able to prove her case and </w:t>
      </w:r>
      <w:r w:rsidR="007D2A4E" w:rsidRPr="003E2093">
        <w:rPr>
          <w:rFonts w:ascii="Times New Roman" w:hAnsi="Times New Roman" w:cs="Times New Roman"/>
          <w:color w:val="212529"/>
          <w:sz w:val="24"/>
          <w:szCs w:val="24"/>
          <w:shd w:val="clear" w:color="auto" w:fill="FAFAFA"/>
        </w:rPr>
        <w:t>deliver the most credible evidence. She demonstrated that the defendant owed her a sum of two thousand nine hundred and seventy dollars</w:t>
      </w:r>
      <w:r w:rsidR="00C9302C" w:rsidRPr="003E2093">
        <w:rPr>
          <w:rFonts w:ascii="Times New Roman" w:hAnsi="Times New Roman" w:cs="Times New Roman"/>
          <w:color w:val="212529"/>
          <w:sz w:val="24"/>
          <w:szCs w:val="24"/>
          <w:shd w:val="clear" w:color="auto" w:fill="FAFAFA"/>
        </w:rPr>
        <w:t xml:space="preserve">. She was, however, not able to </w:t>
      </w:r>
      <w:r w:rsidR="00B65FDB" w:rsidRPr="003E2093">
        <w:rPr>
          <w:rFonts w:ascii="Times New Roman" w:hAnsi="Times New Roman" w:cs="Times New Roman"/>
          <w:color w:val="212529"/>
          <w:sz w:val="24"/>
          <w:szCs w:val="24"/>
          <w:shd w:val="clear" w:color="auto" w:fill="FAFAFA"/>
        </w:rPr>
        <w:t>present credible evidence about the remaining six hundred and thirty dollars which repres</w:t>
      </w:r>
      <w:r w:rsidR="001E15FD">
        <w:rPr>
          <w:rFonts w:ascii="Times New Roman" w:hAnsi="Times New Roman" w:cs="Times New Roman"/>
          <w:color w:val="212529"/>
          <w:sz w:val="24"/>
          <w:szCs w:val="24"/>
          <w:shd w:val="clear" w:color="auto" w:fill="FAFAFA"/>
        </w:rPr>
        <w:t>ents the remainder of her claim (</w:t>
      </w:r>
      <w:r w:rsidR="001E15FD" w:rsidRPr="001E15FD">
        <w:rPr>
          <w:rFonts w:ascii="Times New Roman" w:hAnsi="Times New Roman" w:cs="Times New Roman"/>
          <w:color w:val="212529"/>
          <w:sz w:val="24"/>
          <w:szCs w:val="24"/>
          <w:shd w:val="clear" w:color="auto" w:fill="FAFAFA"/>
        </w:rPr>
        <w:t>Sun</w:t>
      </w:r>
      <w:r w:rsidR="001E15FD">
        <w:rPr>
          <w:rFonts w:ascii="Times New Roman" w:hAnsi="Times New Roman" w:cs="Times New Roman"/>
          <w:color w:val="212529"/>
          <w:sz w:val="24"/>
          <w:szCs w:val="24"/>
          <w:shd w:val="clear" w:color="auto" w:fill="FAFAFA"/>
        </w:rPr>
        <w:t xml:space="preserve"> et., 2014).</w:t>
      </w:r>
    </w:p>
    <w:p w:rsidR="001A7F10" w:rsidRDefault="0038743F" w:rsidP="001A7F10">
      <w:pPr>
        <w:spacing w:line="480" w:lineRule="auto"/>
        <w:ind w:firstLine="720"/>
        <w:rPr>
          <w:rFonts w:ascii="Times New Roman" w:hAnsi="Times New Roman" w:cs="Times New Roman"/>
          <w:sz w:val="24"/>
          <w:szCs w:val="24"/>
        </w:rPr>
      </w:pPr>
      <w:r w:rsidRPr="003E2093">
        <w:rPr>
          <w:rFonts w:ascii="Times New Roman" w:hAnsi="Times New Roman" w:cs="Times New Roman"/>
          <w:sz w:val="24"/>
          <w:szCs w:val="24"/>
        </w:rPr>
        <w:t>On the other hand, the defendant failed to prove</w:t>
      </w:r>
      <w:r w:rsidR="00DD58D0" w:rsidRPr="003E2093">
        <w:rPr>
          <w:rFonts w:ascii="Times New Roman" w:hAnsi="Times New Roman" w:cs="Times New Roman"/>
          <w:sz w:val="24"/>
          <w:szCs w:val="24"/>
        </w:rPr>
        <w:t xml:space="preserve"> a valid defence and is ordered to remit a sum of two thousand nine hundred and seventy dollars to the accuser and does it with immediate effect whereby she is handed the amount in full.</w:t>
      </w:r>
      <w:r w:rsidR="007A15E1" w:rsidRPr="003E2093">
        <w:rPr>
          <w:rFonts w:ascii="Times New Roman" w:hAnsi="Times New Roman" w:cs="Times New Roman"/>
          <w:sz w:val="24"/>
          <w:szCs w:val="24"/>
        </w:rPr>
        <w:t xml:space="preserve"> In a nutshell, the preceding as a result of this constitutes the order of the court.</w:t>
      </w:r>
    </w:p>
    <w:p w:rsidR="005C39E3" w:rsidRPr="003E2093" w:rsidRDefault="0038743F" w:rsidP="001A7F10">
      <w:pPr>
        <w:spacing w:line="480" w:lineRule="auto"/>
        <w:ind w:firstLine="720"/>
        <w:rPr>
          <w:rFonts w:ascii="Times New Roman" w:hAnsi="Times New Roman" w:cs="Times New Roman"/>
          <w:sz w:val="24"/>
          <w:szCs w:val="24"/>
        </w:rPr>
      </w:pPr>
      <w:r w:rsidRPr="003E2093">
        <w:rPr>
          <w:rFonts w:ascii="Times New Roman" w:hAnsi="Times New Roman" w:cs="Times New Roman"/>
          <w:sz w:val="24"/>
          <w:szCs w:val="24"/>
        </w:rPr>
        <w:t>In conclusion, my opinion is that the verdict was fair. The fact that Scotto had borrowed money and</w:t>
      </w:r>
      <w:r w:rsidRPr="003E2093">
        <w:rPr>
          <w:rFonts w:ascii="Times New Roman" w:hAnsi="Times New Roman" w:cs="Times New Roman"/>
          <w:sz w:val="24"/>
          <w:szCs w:val="24"/>
        </w:rPr>
        <w:t xml:space="preserve"> was trying to dodge payments for whatever reasons was unfair.</w:t>
      </w:r>
      <w:r w:rsidR="00B655F0" w:rsidRPr="003E2093">
        <w:rPr>
          <w:rFonts w:ascii="Times New Roman" w:hAnsi="Times New Roman" w:cs="Times New Roman"/>
          <w:sz w:val="24"/>
          <w:szCs w:val="24"/>
        </w:rPr>
        <w:t xml:space="preserve"> The fact that </w:t>
      </w:r>
      <w:r w:rsidR="00B655F0" w:rsidRPr="003E2093">
        <w:rPr>
          <w:rFonts w:ascii="Times New Roman" w:hAnsi="Times New Roman" w:cs="Times New Roman"/>
          <w:color w:val="212529"/>
          <w:sz w:val="24"/>
          <w:szCs w:val="24"/>
          <w:shd w:val="clear" w:color="auto" w:fill="FAFAFA"/>
        </w:rPr>
        <w:t xml:space="preserve">Vinueza could not get the other amount that totalled six hundred and thirty dollars was because she could not provide concrete evidence in support of it. </w:t>
      </w:r>
      <w:r w:rsidR="00F35CB0" w:rsidRPr="003E2093">
        <w:rPr>
          <w:rFonts w:ascii="Times New Roman" w:hAnsi="Times New Roman" w:cs="Times New Roman"/>
          <w:color w:val="212529"/>
          <w:sz w:val="24"/>
          <w:szCs w:val="24"/>
          <w:shd w:val="clear" w:color="auto" w:fill="FAFAFA"/>
        </w:rPr>
        <w:t xml:space="preserve">Ignorance is no </w:t>
      </w:r>
      <w:r w:rsidR="00FD3BC1" w:rsidRPr="003E2093">
        <w:rPr>
          <w:rFonts w:ascii="Times New Roman" w:hAnsi="Times New Roman" w:cs="Times New Roman"/>
          <w:color w:val="212529"/>
          <w:sz w:val="24"/>
          <w:szCs w:val="24"/>
          <w:shd w:val="clear" w:color="auto" w:fill="FAFAFA"/>
        </w:rPr>
        <w:t>defence</w:t>
      </w:r>
      <w:r w:rsidR="00F35CB0" w:rsidRPr="003E2093">
        <w:rPr>
          <w:rFonts w:ascii="Times New Roman" w:hAnsi="Times New Roman" w:cs="Times New Roman"/>
          <w:color w:val="212529"/>
          <w:sz w:val="24"/>
          <w:szCs w:val="24"/>
          <w:shd w:val="clear" w:color="auto" w:fill="FAFAFA"/>
        </w:rPr>
        <w:t xml:space="preserve">, and the court was able to stay put </w:t>
      </w:r>
      <w:r w:rsidR="004E67E1" w:rsidRPr="003E2093">
        <w:rPr>
          <w:rFonts w:ascii="Times New Roman" w:hAnsi="Times New Roman" w:cs="Times New Roman"/>
          <w:color w:val="212529"/>
          <w:sz w:val="24"/>
          <w:szCs w:val="24"/>
          <w:shd w:val="clear" w:color="auto" w:fill="FAFAFA"/>
        </w:rPr>
        <w:t xml:space="preserve">about the t fact even when Mr </w:t>
      </w:r>
      <w:r w:rsidR="00FD3BC1" w:rsidRPr="003E2093">
        <w:rPr>
          <w:rFonts w:ascii="Times New Roman" w:hAnsi="Times New Roman" w:cs="Times New Roman"/>
          <w:color w:val="212529"/>
          <w:sz w:val="24"/>
          <w:szCs w:val="24"/>
          <w:shd w:val="clear" w:color="auto" w:fill="FAFAFA"/>
        </w:rPr>
        <w:t>Michael</w:t>
      </w:r>
      <w:r w:rsidR="004E67E1" w:rsidRPr="003E2093">
        <w:rPr>
          <w:rFonts w:ascii="Times New Roman" w:hAnsi="Times New Roman" w:cs="Times New Roman"/>
          <w:color w:val="212529"/>
          <w:sz w:val="24"/>
          <w:szCs w:val="24"/>
          <w:shd w:val="clear" w:color="auto" w:fill="FAFAFA"/>
        </w:rPr>
        <w:t xml:space="preserve"> tried to justify himself by purporting that he was mentally unfit and did not know while he was signing the note. He had also tried to defend himself by purporting that he had not read and understood the document before signing it.</w:t>
      </w:r>
      <w:r w:rsidR="00206E89" w:rsidRPr="003E2093">
        <w:rPr>
          <w:rFonts w:ascii="Times New Roman" w:hAnsi="Times New Roman" w:cs="Times New Roman"/>
          <w:color w:val="212529"/>
          <w:sz w:val="24"/>
          <w:szCs w:val="24"/>
          <w:shd w:val="clear" w:color="auto" w:fill="FAFAFA"/>
        </w:rPr>
        <w:t xml:space="preserve"> That </w:t>
      </w:r>
      <w:r w:rsidR="00206E89" w:rsidRPr="003E2093">
        <w:rPr>
          <w:rFonts w:ascii="Times New Roman" w:hAnsi="Times New Roman" w:cs="Times New Roman"/>
          <w:color w:val="212529"/>
          <w:sz w:val="24"/>
          <w:szCs w:val="24"/>
          <w:shd w:val="clear" w:color="auto" w:fill="FAFAFA"/>
        </w:rPr>
        <w:lastRenderedPageBreak/>
        <w:t>could not vindicate him as the law is unambiguous on what it dictates. Generally, the case was fair, and</w:t>
      </w:r>
      <w:r w:rsidR="007B639A" w:rsidRPr="003E2093">
        <w:rPr>
          <w:rFonts w:ascii="Times New Roman" w:hAnsi="Times New Roman" w:cs="Times New Roman"/>
          <w:color w:val="212529"/>
          <w:sz w:val="24"/>
          <w:szCs w:val="24"/>
          <w:shd w:val="clear" w:color="auto" w:fill="FAFAFA"/>
        </w:rPr>
        <w:t xml:space="preserve"> at this point, I can </w:t>
      </w:r>
      <w:r w:rsidR="00206E89" w:rsidRPr="003E2093">
        <w:rPr>
          <w:rFonts w:ascii="Times New Roman" w:hAnsi="Times New Roman" w:cs="Times New Roman"/>
          <w:color w:val="212529"/>
          <w:sz w:val="24"/>
          <w:szCs w:val="24"/>
          <w:shd w:val="clear" w:color="auto" w:fill="FAFAFA"/>
        </w:rPr>
        <w:t>say that justice was served for Vinueza</w:t>
      </w:r>
      <w:r w:rsidR="00206E89" w:rsidRPr="003E2093">
        <w:rPr>
          <w:rFonts w:ascii="Times New Roman" w:hAnsi="Times New Roman" w:cs="Times New Roman"/>
          <w:sz w:val="24"/>
          <w:szCs w:val="24"/>
        </w:rPr>
        <w:t>.</w:t>
      </w:r>
    </w:p>
    <w:p w:rsidR="00CC3071" w:rsidRPr="003E2093" w:rsidRDefault="00CC3071" w:rsidP="003E2093">
      <w:pPr>
        <w:spacing w:line="480" w:lineRule="auto"/>
        <w:rPr>
          <w:rFonts w:ascii="Times New Roman" w:hAnsi="Times New Roman" w:cs="Times New Roman"/>
          <w:sz w:val="24"/>
          <w:szCs w:val="24"/>
        </w:rPr>
      </w:pPr>
    </w:p>
    <w:p w:rsidR="00CC3071" w:rsidRPr="003E2093" w:rsidRDefault="00CC3071" w:rsidP="003E2093">
      <w:pPr>
        <w:spacing w:line="480" w:lineRule="auto"/>
        <w:rPr>
          <w:rFonts w:ascii="Times New Roman" w:hAnsi="Times New Roman" w:cs="Times New Roman"/>
          <w:sz w:val="24"/>
          <w:szCs w:val="24"/>
        </w:rPr>
      </w:pPr>
    </w:p>
    <w:p w:rsidR="00CC3071" w:rsidRPr="003E2093" w:rsidRDefault="00CC3071" w:rsidP="003E2093">
      <w:pPr>
        <w:spacing w:line="480" w:lineRule="auto"/>
        <w:rPr>
          <w:rFonts w:ascii="Times New Roman" w:hAnsi="Times New Roman" w:cs="Times New Roman"/>
          <w:sz w:val="24"/>
          <w:szCs w:val="24"/>
        </w:rPr>
      </w:pPr>
    </w:p>
    <w:p w:rsidR="00CC3071" w:rsidRPr="003E2093" w:rsidRDefault="00CC3071" w:rsidP="003E2093">
      <w:pPr>
        <w:spacing w:line="480" w:lineRule="auto"/>
        <w:rPr>
          <w:rFonts w:ascii="Times New Roman" w:hAnsi="Times New Roman" w:cs="Times New Roman"/>
          <w:sz w:val="24"/>
          <w:szCs w:val="24"/>
        </w:rPr>
      </w:pPr>
    </w:p>
    <w:p w:rsidR="00CC3071" w:rsidRPr="003E2093" w:rsidRDefault="00CC3071" w:rsidP="003E2093">
      <w:pPr>
        <w:spacing w:line="480" w:lineRule="auto"/>
        <w:rPr>
          <w:rFonts w:ascii="Times New Roman" w:hAnsi="Times New Roman" w:cs="Times New Roman"/>
          <w:sz w:val="24"/>
          <w:szCs w:val="24"/>
        </w:rPr>
      </w:pPr>
    </w:p>
    <w:p w:rsidR="00CC3071" w:rsidRPr="003E2093" w:rsidRDefault="00CC3071" w:rsidP="003E2093">
      <w:pPr>
        <w:spacing w:line="480" w:lineRule="auto"/>
        <w:rPr>
          <w:rFonts w:ascii="Times New Roman" w:hAnsi="Times New Roman" w:cs="Times New Roman"/>
          <w:sz w:val="24"/>
          <w:szCs w:val="24"/>
        </w:rPr>
      </w:pPr>
    </w:p>
    <w:p w:rsidR="00CC3071" w:rsidRPr="003E2093" w:rsidRDefault="00CC3071" w:rsidP="003E2093">
      <w:pPr>
        <w:spacing w:line="480" w:lineRule="auto"/>
        <w:rPr>
          <w:rFonts w:ascii="Times New Roman" w:hAnsi="Times New Roman" w:cs="Times New Roman"/>
          <w:sz w:val="24"/>
          <w:szCs w:val="24"/>
        </w:rPr>
      </w:pPr>
    </w:p>
    <w:p w:rsidR="00CC3071" w:rsidRPr="003E2093" w:rsidRDefault="00CC3071" w:rsidP="003E2093">
      <w:pPr>
        <w:spacing w:line="480" w:lineRule="auto"/>
        <w:rPr>
          <w:rFonts w:ascii="Times New Roman" w:hAnsi="Times New Roman" w:cs="Times New Roman"/>
          <w:sz w:val="24"/>
          <w:szCs w:val="24"/>
        </w:rPr>
      </w:pPr>
    </w:p>
    <w:p w:rsidR="00CC3071" w:rsidRPr="003E2093" w:rsidRDefault="00CC3071" w:rsidP="003E2093">
      <w:pPr>
        <w:spacing w:line="480" w:lineRule="auto"/>
        <w:rPr>
          <w:rFonts w:ascii="Times New Roman" w:hAnsi="Times New Roman" w:cs="Times New Roman"/>
          <w:sz w:val="24"/>
          <w:szCs w:val="24"/>
        </w:rPr>
      </w:pPr>
    </w:p>
    <w:p w:rsidR="00CC3071" w:rsidRDefault="00CC3071" w:rsidP="003E2093">
      <w:pPr>
        <w:spacing w:line="480" w:lineRule="auto"/>
        <w:rPr>
          <w:rFonts w:ascii="Times New Roman" w:hAnsi="Times New Roman" w:cs="Times New Roman"/>
          <w:sz w:val="24"/>
          <w:szCs w:val="24"/>
        </w:rPr>
      </w:pPr>
    </w:p>
    <w:p w:rsidR="00C70720" w:rsidRPr="003E2093" w:rsidRDefault="00C70720" w:rsidP="003E2093">
      <w:pPr>
        <w:spacing w:line="480" w:lineRule="auto"/>
        <w:rPr>
          <w:rFonts w:ascii="Times New Roman" w:hAnsi="Times New Roman" w:cs="Times New Roman"/>
          <w:sz w:val="24"/>
          <w:szCs w:val="24"/>
        </w:rPr>
      </w:pPr>
    </w:p>
    <w:p w:rsidR="00CC3071" w:rsidRPr="003E2093" w:rsidRDefault="00CC3071" w:rsidP="003E2093">
      <w:pPr>
        <w:spacing w:line="480" w:lineRule="auto"/>
        <w:rPr>
          <w:rFonts w:ascii="Times New Roman" w:hAnsi="Times New Roman" w:cs="Times New Roman"/>
          <w:sz w:val="24"/>
          <w:szCs w:val="24"/>
        </w:rPr>
      </w:pPr>
    </w:p>
    <w:p w:rsidR="00CC3071" w:rsidRPr="003E2093" w:rsidRDefault="00CC3071" w:rsidP="003E2093">
      <w:pPr>
        <w:spacing w:line="480" w:lineRule="auto"/>
        <w:rPr>
          <w:rFonts w:ascii="Times New Roman" w:hAnsi="Times New Roman" w:cs="Times New Roman"/>
          <w:sz w:val="24"/>
          <w:szCs w:val="24"/>
        </w:rPr>
      </w:pPr>
    </w:p>
    <w:p w:rsidR="00CC3071" w:rsidRPr="003E2093" w:rsidRDefault="00CC3071" w:rsidP="003E2093">
      <w:pPr>
        <w:spacing w:line="480" w:lineRule="auto"/>
        <w:rPr>
          <w:rFonts w:ascii="Times New Roman" w:hAnsi="Times New Roman" w:cs="Times New Roman"/>
          <w:sz w:val="24"/>
          <w:szCs w:val="24"/>
        </w:rPr>
      </w:pPr>
    </w:p>
    <w:p w:rsidR="001A7F10" w:rsidRDefault="001A7F10" w:rsidP="001A7F10">
      <w:pPr>
        <w:spacing w:line="480" w:lineRule="auto"/>
        <w:rPr>
          <w:rFonts w:ascii="Times New Roman" w:hAnsi="Times New Roman" w:cs="Times New Roman"/>
          <w:sz w:val="24"/>
          <w:szCs w:val="24"/>
        </w:rPr>
      </w:pPr>
    </w:p>
    <w:p w:rsidR="001E15FD" w:rsidRDefault="001E15FD" w:rsidP="001A7F10">
      <w:pPr>
        <w:spacing w:line="480" w:lineRule="auto"/>
        <w:rPr>
          <w:rFonts w:ascii="Times New Roman" w:hAnsi="Times New Roman" w:cs="Times New Roman"/>
          <w:sz w:val="24"/>
          <w:szCs w:val="24"/>
        </w:rPr>
      </w:pPr>
    </w:p>
    <w:p w:rsidR="00C70720" w:rsidRDefault="00C70720" w:rsidP="001A7F10">
      <w:pPr>
        <w:spacing w:line="480" w:lineRule="auto"/>
        <w:rPr>
          <w:rFonts w:ascii="Times New Roman" w:hAnsi="Times New Roman" w:cs="Times New Roman"/>
          <w:sz w:val="24"/>
          <w:szCs w:val="24"/>
        </w:rPr>
      </w:pPr>
    </w:p>
    <w:p w:rsidR="00CC3071" w:rsidRPr="001E15FD" w:rsidRDefault="0038743F" w:rsidP="001A7F10">
      <w:pPr>
        <w:spacing w:line="480" w:lineRule="auto"/>
        <w:jc w:val="center"/>
        <w:rPr>
          <w:rFonts w:ascii="Times New Roman" w:hAnsi="Times New Roman" w:cs="Times New Roman"/>
          <w:b/>
          <w:sz w:val="24"/>
          <w:szCs w:val="24"/>
        </w:rPr>
      </w:pPr>
      <w:r w:rsidRPr="001E15FD">
        <w:rPr>
          <w:rFonts w:ascii="Times New Roman" w:hAnsi="Times New Roman" w:cs="Times New Roman"/>
          <w:b/>
          <w:sz w:val="24"/>
          <w:szCs w:val="24"/>
        </w:rPr>
        <w:lastRenderedPageBreak/>
        <w:t>References</w:t>
      </w:r>
    </w:p>
    <w:p w:rsidR="001A7F10" w:rsidRPr="00B122C3" w:rsidRDefault="0038743F" w:rsidP="001A7F10">
      <w:pPr>
        <w:spacing w:line="480" w:lineRule="auto"/>
        <w:ind w:left="720" w:hanging="720"/>
        <w:rPr>
          <w:rFonts w:ascii="Times New Roman" w:hAnsi="Times New Roman" w:cs="Times New Roman"/>
          <w:sz w:val="24"/>
          <w:szCs w:val="24"/>
        </w:rPr>
      </w:pPr>
      <w:r w:rsidRPr="000E3AA1">
        <w:rPr>
          <w:rFonts w:ascii="Times New Roman" w:hAnsi="Times New Roman" w:cs="Times New Roman"/>
          <w:sz w:val="24"/>
          <w:szCs w:val="24"/>
          <w:shd w:val="clear" w:color="auto" w:fill="FFFFFF"/>
        </w:rPr>
        <w:t>Lemaire</w:t>
      </w:r>
      <w:r w:rsidRPr="000E3AA1">
        <w:rPr>
          <w:rFonts w:ascii="Times New Roman" w:hAnsi="Times New Roman" w:cs="Times New Roman"/>
          <w:sz w:val="24"/>
          <w:szCs w:val="24"/>
          <w:shd w:val="clear" w:color="auto" w:fill="FFFFFF"/>
        </w:rPr>
        <w:t>-Mayo, V., Piquemal, M., Crusio, W. E., Louette, E., &amp; Pietropaolo, S. (2020). Therapeutic effects of Chlorzoxazone, a BKCa channel agonist, in a mouse model of Fragile X syndrome. </w:t>
      </w:r>
      <w:r w:rsidRPr="000E3AA1">
        <w:rPr>
          <w:rFonts w:ascii="Times New Roman" w:hAnsi="Times New Roman" w:cs="Times New Roman"/>
          <w:i/>
          <w:iCs/>
          <w:sz w:val="24"/>
          <w:szCs w:val="24"/>
          <w:shd w:val="clear" w:color="auto" w:fill="FFFFFF"/>
        </w:rPr>
        <w:t>bioRxiv</w:t>
      </w:r>
      <w:r w:rsidRPr="000E3AA1">
        <w:rPr>
          <w:rFonts w:ascii="Times New Roman" w:hAnsi="Times New Roman" w:cs="Times New Roman"/>
          <w:sz w:val="24"/>
          <w:szCs w:val="24"/>
          <w:shd w:val="clear" w:color="auto" w:fill="FFFFFF"/>
        </w:rPr>
        <w:t>.</w:t>
      </w:r>
    </w:p>
    <w:p w:rsidR="001A7F10" w:rsidRPr="000E3AA1" w:rsidRDefault="0038743F" w:rsidP="001A7F10">
      <w:pPr>
        <w:spacing w:line="480" w:lineRule="auto"/>
        <w:ind w:left="720" w:hanging="720"/>
        <w:rPr>
          <w:rFonts w:ascii="Times New Roman" w:hAnsi="Times New Roman" w:cs="Times New Roman"/>
          <w:sz w:val="24"/>
          <w:szCs w:val="24"/>
          <w:shd w:val="clear" w:color="auto" w:fill="FFFFFF"/>
        </w:rPr>
      </w:pPr>
      <w:r w:rsidRPr="000E3AA1">
        <w:rPr>
          <w:rFonts w:ascii="Times New Roman" w:hAnsi="Times New Roman" w:cs="Times New Roman"/>
          <w:sz w:val="24"/>
          <w:szCs w:val="24"/>
          <w:shd w:val="clear" w:color="auto" w:fill="FFFFFF"/>
        </w:rPr>
        <w:t>Sun, M. K., Hongpaisan, J., Lim, C. S., &amp; Alkon, D. L. (2014). Bry</w:t>
      </w:r>
      <w:r w:rsidRPr="000E3AA1">
        <w:rPr>
          <w:rFonts w:ascii="Times New Roman" w:hAnsi="Times New Roman" w:cs="Times New Roman"/>
          <w:sz w:val="24"/>
          <w:szCs w:val="24"/>
          <w:shd w:val="clear" w:color="auto" w:fill="FFFFFF"/>
        </w:rPr>
        <w:t>ostatin-1 restores hippocampal synapses and spatial learning and memory in adult fragile x mice. </w:t>
      </w:r>
      <w:r w:rsidRPr="000E3AA1">
        <w:rPr>
          <w:rFonts w:ascii="Times New Roman" w:hAnsi="Times New Roman" w:cs="Times New Roman"/>
          <w:i/>
          <w:iCs/>
          <w:sz w:val="24"/>
          <w:szCs w:val="24"/>
          <w:shd w:val="clear" w:color="auto" w:fill="FFFFFF"/>
        </w:rPr>
        <w:t xml:space="preserve">Journal </w:t>
      </w:r>
      <w:bookmarkStart w:id="0" w:name="_GoBack"/>
      <w:bookmarkEnd w:id="0"/>
      <w:r w:rsidRPr="000E3AA1">
        <w:rPr>
          <w:rFonts w:ascii="Times New Roman" w:hAnsi="Times New Roman" w:cs="Times New Roman"/>
          <w:i/>
          <w:iCs/>
          <w:sz w:val="24"/>
          <w:szCs w:val="24"/>
          <w:shd w:val="clear" w:color="auto" w:fill="FFFFFF"/>
        </w:rPr>
        <w:t>of Pharmacology and Experimental Therapeutics</w:t>
      </w:r>
      <w:r w:rsidRPr="000E3AA1">
        <w:rPr>
          <w:rFonts w:ascii="Times New Roman" w:hAnsi="Times New Roman" w:cs="Times New Roman"/>
          <w:sz w:val="24"/>
          <w:szCs w:val="24"/>
          <w:shd w:val="clear" w:color="auto" w:fill="FFFFFF"/>
        </w:rPr>
        <w:t>, </w:t>
      </w:r>
      <w:r w:rsidRPr="000E3AA1">
        <w:rPr>
          <w:rFonts w:ascii="Times New Roman" w:hAnsi="Times New Roman" w:cs="Times New Roman"/>
          <w:i/>
          <w:iCs/>
          <w:sz w:val="24"/>
          <w:szCs w:val="24"/>
          <w:shd w:val="clear" w:color="auto" w:fill="FFFFFF"/>
        </w:rPr>
        <w:t>349</w:t>
      </w:r>
      <w:r w:rsidRPr="000E3AA1">
        <w:rPr>
          <w:rFonts w:ascii="Times New Roman" w:hAnsi="Times New Roman" w:cs="Times New Roman"/>
          <w:sz w:val="24"/>
          <w:szCs w:val="24"/>
          <w:shd w:val="clear" w:color="auto" w:fill="FFFFFF"/>
        </w:rPr>
        <w:t>(3), 393-401.</w:t>
      </w:r>
    </w:p>
    <w:sectPr w:rsidR="001A7F10" w:rsidRPr="000E3AA1" w:rsidSect="0017052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43F" w:rsidRDefault="0038743F">
      <w:pPr>
        <w:spacing w:after="0" w:line="240" w:lineRule="auto"/>
      </w:pPr>
      <w:r>
        <w:separator/>
      </w:r>
    </w:p>
  </w:endnote>
  <w:endnote w:type="continuationSeparator" w:id="0">
    <w:p w:rsidR="0038743F" w:rsidRDefault="00387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43F" w:rsidRDefault="0038743F">
      <w:pPr>
        <w:spacing w:after="0" w:line="240" w:lineRule="auto"/>
      </w:pPr>
      <w:r>
        <w:separator/>
      </w:r>
    </w:p>
  </w:footnote>
  <w:footnote w:type="continuationSeparator" w:id="0">
    <w:p w:rsidR="0038743F" w:rsidRDefault="003874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703339"/>
      <w:docPartObj>
        <w:docPartGallery w:val="Page Numbers (Top of Page)"/>
        <w:docPartUnique/>
      </w:docPartObj>
    </w:sdtPr>
    <w:sdtEndPr>
      <w:rPr>
        <w:noProof/>
      </w:rPr>
    </w:sdtEndPr>
    <w:sdtContent>
      <w:p w:rsidR="00170523" w:rsidRDefault="0038743F">
        <w:pPr>
          <w:pStyle w:val="Header"/>
          <w:jc w:val="right"/>
        </w:pPr>
        <w:r>
          <w:rPr>
            <w:rFonts w:ascii="Times New Roman" w:hAnsi="Times New Roman" w:cs="Times New Roman"/>
            <w:sz w:val="24"/>
            <w:szCs w:val="24"/>
          </w:rPr>
          <w:t>VINUEZA VERSUS SC</w:t>
        </w:r>
        <w:r>
          <w:rPr>
            <w:rFonts w:ascii="Times New Roman" w:hAnsi="Times New Roman" w:cs="Times New Roman"/>
            <w:sz w:val="24"/>
            <w:szCs w:val="24"/>
          </w:rPr>
          <w:t xml:space="preserve">OTTO CASE REVIEW                                                                           </w:t>
        </w:r>
        <w:r>
          <w:fldChar w:fldCharType="begin"/>
        </w:r>
        <w:r>
          <w:instrText xml:space="preserve"> PAGE   \* MERGEFORMAT </w:instrText>
        </w:r>
        <w:r>
          <w:fldChar w:fldCharType="separate"/>
        </w:r>
        <w:r w:rsidR="00C70720">
          <w:rPr>
            <w:noProof/>
          </w:rPr>
          <w:t>2</w:t>
        </w:r>
        <w:r>
          <w:rPr>
            <w:noProof/>
          </w:rPr>
          <w:fldChar w:fldCharType="end"/>
        </w:r>
      </w:p>
    </w:sdtContent>
  </w:sdt>
  <w:p w:rsidR="00170523" w:rsidRDefault="001705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23" w:rsidRPr="00170523" w:rsidRDefault="0038743F">
    <w:pPr>
      <w:pStyle w:val="Header"/>
      <w:rPr>
        <w:rFonts w:ascii="Times New Roman" w:hAnsi="Times New Roman" w:cs="Times New Roman"/>
        <w:sz w:val="24"/>
        <w:szCs w:val="24"/>
      </w:rPr>
    </w:pPr>
    <w:r>
      <w:rPr>
        <w:rFonts w:ascii="Times New Roman" w:hAnsi="Times New Roman" w:cs="Times New Roman"/>
        <w:sz w:val="24"/>
        <w:szCs w:val="24"/>
      </w:rPr>
      <w:t>Running Head: VINUEZA VERSUS SCOTTO CASE REVIEW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33D"/>
    <w:rsid w:val="00005262"/>
    <w:rsid w:val="000553A5"/>
    <w:rsid w:val="00092314"/>
    <w:rsid w:val="000B068F"/>
    <w:rsid w:val="000B1EDF"/>
    <w:rsid w:val="000C4B7B"/>
    <w:rsid w:val="000E3AA1"/>
    <w:rsid w:val="000E69AD"/>
    <w:rsid w:val="000E7553"/>
    <w:rsid w:val="000F1394"/>
    <w:rsid w:val="000F1B51"/>
    <w:rsid w:val="00152230"/>
    <w:rsid w:val="001635ED"/>
    <w:rsid w:val="00170523"/>
    <w:rsid w:val="00173AD3"/>
    <w:rsid w:val="00181B38"/>
    <w:rsid w:val="001A1197"/>
    <w:rsid w:val="001A7F10"/>
    <w:rsid w:val="001C6266"/>
    <w:rsid w:val="001E0A77"/>
    <w:rsid w:val="001E15FD"/>
    <w:rsid w:val="001F12AE"/>
    <w:rsid w:val="00206E89"/>
    <w:rsid w:val="00211EAD"/>
    <w:rsid w:val="00227C2D"/>
    <w:rsid w:val="00240BAC"/>
    <w:rsid w:val="00251B75"/>
    <w:rsid w:val="002754FA"/>
    <w:rsid w:val="0027786F"/>
    <w:rsid w:val="002C20E9"/>
    <w:rsid w:val="002D2826"/>
    <w:rsid w:val="002D3851"/>
    <w:rsid w:val="002F153C"/>
    <w:rsid w:val="003024B3"/>
    <w:rsid w:val="0033560A"/>
    <w:rsid w:val="0036590C"/>
    <w:rsid w:val="00374A77"/>
    <w:rsid w:val="00384D8E"/>
    <w:rsid w:val="0038743F"/>
    <w:rsid w:val="003B5ABE"/>
    <w:rsid w:val="003D21E4"/>
    <w:rsid w:val="003E2093"/>
    <w:rsid w:val="00405CAB"/>
    <w:rsid w:val="0042139A"/>
    <w:rsid w:val="00436A8B"/>
    <w:rsid w:val="004843F8"/>
    <w:rsid w:val="004A4A4F"/>
    <w:rsid w:val="004D0638"/>
    <w:rsid w:val="004E67E1"/>
    <w:rsid w:val="00502B04"/>
    <w:rsid w:val="00503241"/>
    <w:rsid w:val="0051203E"/>
    <w:rsid w:val="00545BBC"/>
    <w:rsid w:val="00547189"/>
    <w:rsid w:val="0055732D"/>
    <w:rsid w:val="00562B44"/>
    <w:rsid w:val="00577F1E"/>
    <w:rsid w:val="005823B3"/>
    <w:rsid w:val="005A5D52"/>
    <w:rsid w:val="005C39E3"/>
    <w:rsid w:val="005E2F67"/>
    <w:rsid w:val="005F5557"/>
    <w:rsid w:val="00606869"/>
    <w:rsid w:val="00643D2D"/>
    <w:rsid w:val="007146FE"/>
    <w:rsid w:val="00722B9A"/>
    <w:rsid w:val="00782696"/>
    <w:rsid w:val="007947DA"/>
    <w:rsid w:val="007A012F"/>
    <w:rsid w:val="007A15E1"/>
    <w:rsid w:val="007B639A"/>
    <w:rsid w:val="007C6531"/>
    <w:rsid w:val="007C7CD9"/>
    <w:rsid w:val="007D04EA"/>
    <w:rsid w:val="007D2A4E"/>
    <w:rsid w:val="007F152A"/>
    <w:rsid w:val="00801D21"/>
    <w:rsid w:val="008115BF"/>
    <w:rsid w:val="008173C2"/>
    <w:rsid w:val="008278CD"/>
    <w:rsid w:val="0083416B"/>
    <w:rsid w:val="00853AA8"/>
    <w:rsid w:val="00890F48"/>
    <w:rsid w:val="008968BD"/>
    <w:rsid w:val="00900123"/>
    <w:rsid w:val="00901F36"/>
    <w:rsid w:val="009146DA"/>
    <w:rsid w:val="00915695"/>
    <w:rsid w:val="00947F92"/>
    <w:rsid w:val="009643DA"/>
    <w:rsid w:val="00994D73"/>
    <w:rsid w:val="009C24FC"/>
    <w:rsid w:val="009D5B85"/>
    <w:rsid w:val="009E6F69"/>
    <w:rsid w:val="009F29ED"/>
    <w:rsid w:val="009F7E7D"/>
    <w:rsid w:val="00A115A3"/>
    <w:rsid w:val="00A21D9C"/>
    <w:rsid w:val="00A2269F"/>
    <w:rsid w:val="00A40BF7"/>
    <w:rsid w:val="00A5267F"/>
    <w:rsid w:val="00A81C4F"/>
    <w:rsid w:val="00A833F1"/>
    <w:rsid w:val="00A92414"/>
    <w:rsid w:val="00AA16DC"/>
    <w:rsid w:val="00AA2AC4"/>
    <w:rsid w:val="00AE572A"/>
    <w:rsid w:val="00B122C3"/>
    <w:rsid w:val="00B655F0"/>
    <w:rsid w:val="00B65FDB"/>
    <w:rsid w:val="00B842BA"/>
    <w:rsid w:val="00B8615B"/>
    <w:rsid w:val="00B94F3E"/>
    <w:rsid w:val="00BA5BA7"/>
    <w:rsid w:val="00BA6C14"/>
    <w:rsid w:val="00BD791D"/>
    <w:rsid w:val="00BF168C"/>
    <w:rsid w:val="00C536E2"/>
    <w:rsid w:val="00C70720"/>
    <w:rsid w:val="00C829DC"/>
    <w:rsid w:val="00C9302C"/>
    <w:rsid w:val="00CB41B7"/>
    <w:rsid w:val="00CB4717"/>
    <w:rsid w:val="00CC3071"/>
    <w:rsid w:val="00CD1E10"/>
    <w:rsid w:val="00CD4D38"/>
    <w:rsid w:val="00D070C4"/>
    <w:rsid w:val="00D26E99"/>
    <w:rsid w:val="00D75216"/>
    <w:rsid w:val="00D80031"/>
    <w:rsid w:val="00D92A6A"/>
    <w:rsid w:val="00D938D1"/>
    <w:rsid w:val="00DB6B1F"/>
    <w:rsid w:val="00DD58D0"/>
    <w:rsid w:val="00DE524B"/>
    <w:rsid w:val="00DF056F"/>
    <w:rsid w:val="00E57B13"/>
    <w:rsid w:val="00E92336"/>
    <w:rsid w:val="00EC2C78"/>
    <w:rsid w:val="00ED40BF"/>
    <w:rsid w:val="00EE32B5"/>
    <w:rsid w:val="00F00B07"/>
    <w:rsid w:val="00F07633"/>
    <w:rsid w:val="00F1333D"/>
    <w:rsid w:val="00F16F38"/>
    <w:rsid w:val="00F32DAE"/>
    <w:rsid w:val="00F35CB0"/>
    <w:rsid w:val="00F37B68"/>
    <w:rsid w:val="00F37DA4"/>
    <w:rsid w:val="00FC32E9"/>
    <w:rsid w:val="00FC3D02"/>
    <w:rsid w:val="00FC6496"/>
    <w:rsid w:val="00FD3BC1"/>
    <w:rsid w:val="00FE10BB"/>
    <w:rsid w:val="00FE20F9"/>
    <w:rsid w:val="00FE4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23"/>
  </w:style>
  <w:style w:type="paragraph" w:styleId="Footer">
    <w:name w:val="footer"/>
    <w:basedOn w:val="Normal"/>
    <w:link w:val="FooterChar"/>
    <w:uiPriority w:val="99"/>
    <w:unhideWhenUsed/>
    <w:rsid w:val="00170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23"/>
  </w:style>
  <w:style w:type="paragraph" w:styleId="Footer">
    <w:name w:val="footer"/>
    <w:basedOn w:val="Normal"/>
    <w:link w:val="FooterChar"/>
    <w:uiPriority w:val="99"/>
    <w:unhideWhenUsed/>
    <w:rsid w:val="00170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dc:creator>
  <cp:lastModifiedBy>Windows User</cp:lastModifiedBy>
  <cp:revision>2</cp:revision>
  <dcterms:created xsi:type="dcterms:W3CDTF">2021-05-05T22:49:00Z</dcterms:created>
  <dcterms:modified xsi:type="dcterms:W3CDTF">2021-05-05T22:49:00Z</dcterms:modified>
</cp:coreProperties>
</file>